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EB629" w14:textId="77777777" w:rsidR="007D7613" w:rsidRDefault="00B26280">
      <w:pPr>
        <w:spacing w:line="259" w:lineRule="auto"/>
        <w:ind w:left="-15" w:firstLine="0"/>
      </w:pPr>
      <w:r>
        <w:rPr>
          <w:b/>
        </w:rPr>
        <w:t>Załącznik nr 7 do Umowy Ramowej</w:t>
      </w:r>
      <w:r>
        <w:t xml:space="preserve"> - Umowa o świadczenie Usługi BSA wraz z załącznikami </w:t>
      </w:r>
    </w:p>
    <w:p w14:paraId="0FBF02F6" w14:textId="77777777" w:rsidR="007D7613" w:rsidRDefault="00B26280">
      <w:pPr>
        <w:spacing w:after="53" w:line="259" w:lineRule="auto"/>
        <w:ind w:left="0" w:firstLine="0"/>
        <w:jc w:val="left"/>
      </w:pPr>
      <w:r>
        <w:rPr>
          <w:b/>
        </w:rPr>
        <w:t xml:space="preserve"> </w:t>
      </w:r>
    </w:p>
    <w:p w14:paraId="2DE15675" w14:textId="77777777" w:rsidR="007D7613" w:rsidRDefault="00B26280">
      <w:pPr>
        <w:spacing w:after="85" w:line="259" w:lineRule="auto"/>
        <w:ind w:left="4537" w:firstLine="0"/>
        <w:jc w:val="left"/>
      </w:pPr>
      <w:r>
        <w:rPr>
          <w:b/>
        </w:rPr>
        <w:t xml:space="preserve"> </w:t>
      </w:r>
    </w:p>
    <w:p w14:paraId="38BE9E19" w14:textId="77777777" w:rsidR="007D7613" w:rsidRDefault="00B26280">
      <w:pPr>
        <w:spacing w:after="53" w:line="259" w:lineRule="auto"/>
        <w:ind w:left="1397" w:hanging="10"/>
        <w:jc w:val="left"/>
      </w:pPr>
      <w:r>
        <w:rPr>
          <w:b/>
        </w:rPr>
        <w:t xml:space="preserve">Umowa o świadczenie Usługi nr </w:t>
      </w:r>
      <w:r>
        <w:rPr>
          <w:b/>
          <w:shd w:val="clear" w:color="auto" w:fill="FFFF00"/>
        </w:rPr>
        <w:t>______</w:t>
      </w:r>
      <w:r>
        <w:rPr>
          <w:b/>
        </w:rPr>
        <w:t xml:space="preserve">/BSA (dalej jako „Umowa”) </w:t>
      </w:r>
    </w:p>
    <w:p w14:paraId="03C3E586" w14:textId="77777777" w:rsidR="007D7613" w:rsidRDefault="00B26280">
      <w:pPr>
        <w:spacing w:after="53" w:line="259" w:lineRule="auto"/>
        <w:ind w:left="0" w:firstLine="0"/>
        <w:jc w:val="left"/>
      </w:pPr>
      <w:r>
        <w:t xml:space="preserve"> </w:t>
      </w:r>
    </w:p>
    <w:p w14:paraId="0D490140" w14:textId="77777777" w:rsidR="007D7613" w:rsidRDefault="00B26280">
      <w:pPr>
        <w:ind w:left="-15" w:firstLine="0"/>
      </w:pPr>
      <w:r>
        <w:t xml:space="preserve">zawarta w dniu </w:t>
      </w:r>
      <w:r>
        <w:rPr>
          <w:shd w:val="clear" w:color="auto" w:fill="FFFF00"/>
        </w:rPr>
        <w:t>________</w:t>
      </w:r>
      <w:r>
        <w:t xml:space="preserve"> [</w:t>
      </w:r>
      <w:r>
        <w:rPr>
          <w:b/>
          <w:i/>
        </w:rPr>
        <w:t>data</w:t>
      </w:r>
      <w:r>
        <w:t xml:space="preserve">], w </w:t>
      </w:r>
      <w:r>
        <w:rPr>
          <w:shd w:val="clear" w:color="auto" w:fill="FFFF00"/>
        </w:rPr>
        <w:t>_____________________</w:t>
      </w:r>
      <w:r>
        <w:t xml:space="preserve"> [</w:t>
      </w:r>
      <w:r>
        <w:rPr>
          <w:b/>
          <w:i/>
        </w:rPr>
        <w:t>miejscowość</w:t>
      </w:r>
      <w:r>
        <w:t xml:space="preserve">] / złożenia ostatniego                          z kwalifikowanych podpisów elektronicznych na dokumencie elektronicznym Umowy, pomiędzy </w:t>
      </w:r>
    </w:p>
    <w:p w14:paraId="44C1B73C" w14:textId="77777777" w:rsidR="007D7613" w:rsidRDefault="00B26280">
      <w:pPr>
        <w:spacing w:after="50" w:line="259" w:lineRule="auto"/>
        <w:ind w:left="0" w:firstLine="0"/>
        <w:jc w:val="left"/>
      </w:pPr>
      <w:r>
        <w:t xml:space="preserve"> </w:t>
      </w:r>
    </w:p>
    <w:p w14:paraId="569F6178" w14:textId="77777777" w:rsidR="007D7613" w:rsidRDefault="00B26280">
      <w:pPr>
        <w:ind w:left="-15" w:firstLine="0"/>
      </w:pPr>
      <w:r>
        <w:rPr>
          <w:b/>
        </w:rPr>
        <w:t xml:space="preserve">Pavel Žižka </w:t>
      </w:r>
      <w:r>
        <w:t>prowadzącym działalność gospodarczą pod firmą</w:t>
      </w:r>
      <w:r>
        <w:rPr>
          <w:b/>
        </w:rPr>
        <w:t xml:space="preserve"> Pavel Žižka ORELSOFT.PL </w:t>
      </w:r>
      <w:r>
        <w:t xml:space="preserve">z siedzibą w Republice Czeskiej, pod adresem Na Veselce 1013, Upice 542 32, VAT: CZ 911210/3869, NIP: 72085584, wpisanym do Rejestru Przedsiębiorców Telekomunikacyjnych pod numerem RPT: 11433, z oddziałem zarejestrowanym w Polsce, pod nazwą: PAVEL ŽIŽKA ODDZIAŁ W POLSCE, ul. Zamkowa </w:t>
      </w:r>
    </w:p>
    <w:p w14:paraId="3B6B2F48" w14:textId="77777777" w:rsidR="007D7613" w:rsidRDefault="00B26280">
      <w:pPr>
        <w:spacing w:line="517" w:lineRule="auto"/>
        <w:ind w:left="-15" w:right="2336" w:firstLine="0"/>
      </w:pPr>
      <w:r>
        <w:t xml:space="preserve">2, 48-200 Prudnik, KRS: 0001051507, REGON: 52604741900000,  zwanym dalej „OSD”,  </w:t>
      </w:r>
    </w:p>
    <w:p w14:paraId="1A01AC35" w14:textId="77777777" w:rsidR="007D7613" w:rsidRDefault="00B26280">
      <w:pPr>
        <w:spacing w:after="211" w:line="259" w:lineRule="auto"/>
        <w:ind w:left="-15" w:firstLine="0"/>
      </w:pPr>
      <w:r>
        <w:t xml:space="preserve">a  </w:t>
      </w:r>
    </w:p>
    <w:p w14:paraId="4D3838EE" w14:textId="77777777" w:rsidR="007D7613" w:rsidRDefault="00B26280">
      <w:pPr>
        <w:ind w:left="-15" w:firstLine="0"/>
      </w:pPr>
      <w:r>
        <w:t>[nazwa] z siedzibą w [</w:t>
      </w:r>
      <w:r>
        <w:rPr>
          <w:shd w:val="clear" w:color="auto" w:fill="FFFF00"/>
        </w:rPr>
        <w:t>nazwa miejscowości</w:t>
      </w:r>
      <w:r>
        <w:t>], adres siedziby: [pełny adres: ulica, nr budynku, nr lokalu, kod pocztowy, miejscowość], wpisana do rejestru przedsiębiorców Krajowego rejestru Sądowego prowadzonego przez Sąd Rejonowy [</w:t>
      </w:r>
      <w:r>
        <w:rPr>
          <w:shd w:val="clear" w:color="auto" w:fill="FFFF00"/>
        </w:rPr>
        <w:t>…</w:t>
      </w:r>
      <w:r>
        <w:t>], Wydział [</w:t>
      </w:r>
      <w:r>
        <w:rPr>
          <w:shd w:val="clear" w:color="auto" w:fill="FFFF00"/>
        </w:rPr>
        <w:t>…</w:t>
      </w:r>
      <w:r>
        <w:t>] pod numerem KRS: [</w:t>
      </w:r>
      <w:r>
        <w:rPr>
          <w:shd w:val="clear" w:color="auto" w:fill="FFFF00"/>
        </w:rPr>
        <w:t>…</w:t>
      </w:r>
      <w:r>
        <w:t>], NIP: [</w:t>
      </w:r>
      <w:r>
        <w:rPr>
          <w:shd w:val="clear" w:color="auto" w:fill="FFFF00"/>
        </w:rPr>
        <w:t>…</w:t>
      </w:r>
      <w:r>
        <w:t>], REGON: [</w:t>
      </w:r>
      <w:r>
        <w:rPr>
          <w:shd w:val="clear" w:color="auto" w:fill="FFFF00"/>
        </w:rPr>
        <w:t>…</w:t>
      </w:r>
      <w:r>
        <w:t>], kapitał zakładowy: [</w:t>
      </w:r>
      <w:r>
        <w:rPr>
          <w:shd w:val="clear" w:color="auto" w:fill="FFFF00"/>
        </w:rPr>
        <w:t>…</w:t>
      </w:r>
      <w:r>
        <w:t xml:space="preserve">], wpisana do Rejestru Przedsiębiorców Telekomunikacyjnych pod numerem RPT: </w:t>
      </w:r>
    </w:p>
    <w:p w14:paraId="00ECEDD6" w14:textId="77777777" w:rsidR="007D7613" w:rsidRDefault="00B26280">
      <w:pPr>
        <w:spacing w:after="211" w:line="259" w:lineRule="auto"/>
        <w:ind w:left="-15" w:firstLine="0"/>
      </w:pPr>
      <w:r>
        <w:t>[</w:t>
      </w:r>
      <w:r>
        <w:rPr>
          <w:shd w:val="clear" w:color="auto" w:fill="FFFF00"/>
        </w:rPr>
        <w:t>…</w:t>
      </w:r>
      <w:r>
        <w:t>], reprezentowana przez: [</w:t>
      </w:r>
      <w:r>
        <w:rPr>
          <w:shd w:val="clear" w:color="auto" w:fill="FFFF00"/>
        </w:rPr>
        <w:t>…</w:t>
      </w:r>
      <w:r>
        <w:t xml:space="preserve">],/  </w:t>
      </w:r>
    </w:p>
    <w:p w14:paraId="1C6CE962" w14:textId="77777777" w:rsidR="007D7613" w:rsidRDefault="00B26280">
      <w:pPr>
        <w:spacing w:after="43" w:line="402" w:lineRule="auto"/>
        <w:ind w:left="-15" w:firstLine="0"/>
      </w:pPr>
      <w:r>
        <w:t>[</w:t>
      </w:r>
      <w:r>
        <w:rPr>
          <w:shd w:val="clear" w:color="auto" w:fill="FFFF00"/>
        </w:rPr>
        <w:t>Imię i nazwisko</w:t>
      </w:r>
      <w:r>
        <w:t>] prowadzący działalność gospodarczą pod firmą [</w:t>
      </w:r>
      <w:r>
        <w:rPr>
          <w:shd w:val="clear" w:color="auto" w:fill="FFFF00"/>
        </w:rPr>
        <w:t>Nazwa</w:t>
      </w:r>
      <w:r>
        <w:t>] pod adresem w [</w:t>
      </w:r>
      <w:r>
        <w:rPr>
          <w:shd w:val="clear" w:color="auto" w:fill="FFFF00"/>
        </w:rPr>
        <w:t>pełny adres:</w:t>
      </w:r>
      <w:r>
        <w:t xml:space="preserve"> </w:t>
      </w:r>
      <w:r>
        <w:rPr>
          <w:shd w:val="clear" w:color="auto" w:fill="FFFF00"/>
        </w:rPr>
        <w:t>ulica, nr budynku, nr lokalu, kod pocztowy, miejscowość</w:t>
      </w:r>
      <w:r>
        <w:t>], wpisany do Centralnej Ewidencji i Informacji o Działalności Gospodarczej, NIP: [</w:t>
      </w:r>
      <w:r>
        <w:rPr>
          <w:shd w:val="clear" w:color="auto" w:fill="FFFF00"/>
        </w:rPr>
        <w:t>…</w:t>
      </w:r>
      <w:r>
        <w:t>], REGON: [</w:t>
      </w:r>
      <w:r>
        <w:rPr>
          <w:shd w:val="clear" w:color="auto" w:fill="FFFF00"/>
        </w:rPr>
        <w:t>…</w:t>
      </w:r>
      <w:r>
        <w:t>] oraz wpisany do Rejestru Przedsiębiorców Telekomunikacyjnych pod numerem RPT: [</w:t>
      </w:r>
      <w:r>
        <w:rPr>
          <w:shd w:val="clear" w:color="auto" w:fill="FFFF00"/>
        </w:rPr>
        <w:t>…</w:t>
      </w:r>
      <w:r>
        <w:t xml:space="preserve">], zwaną dalej „OK” lub „Operatorem Korzystającym”, zwanymi łącznie „Stronami” a każda z osobna „Stroną” Umowy Ramowej. </w:t>
      </w:r>
    </w:p>
    <w:p w14:paraId="194228C0" w14:textId="77777777" w:rsidR="007D7613" w:rsidRDefault="00B26280">
      <w:pPr>
        <w:spacing w:after="50" w:line="259" w:lineRule="auto"/>
        <w:ind w:left="0" w:firstLine="0"/>
        <w:jc w:val="left"/>
      </w:pPr>
      <w:r>
        <w:t xml:space="preserve"> </w:t>
      </w:r>
    </w:p>
    <w:p w14:paraId="1A220C0E" w14:textId="77777777" w:rsidR="007D7613" w:rsidRDefault="00B26280">
      <w:pPr>
        <w:spacing w:after="87" w:line="259" w:lineRule="auto"/>
        <w:ind w:left="0" w:firstLine="0"/>
        <w:jc w:val="left"/>
      </w:pPr>
      <w:r>
        <w:t xml:space="preserve"> </w:t>
      </w:r>
    </w:p>
    <w:p w14:paraId="27353D0E" w14:textId="77777777" w:rsidR="007D7613" w:rsidRDefault="00B26280">
      <w:pPr>
        <w:spacing w:after="89" w:line="259" w:lineRule="auto"/>
        <w:ind w:left="3323" w:hanging="10"/>
        <w:jc w:val="left"/>
      </w:pPr>
      <w:r>
        <w:rPr>
          <w:b/>
        </w:rPr>
        <w:t xml:space="preserve">§ 1 Postanowienia ogólne </w:t>
      </w:r>
    </w:p>
    <w:p w14:paraId="40741A9D" w14:textId="77777777" w:rsidR="007D7613" w:rsidRDefault="00B26280">
      <w:pPr>
        <w:numPr>
          <w:ilvl w:val="0"/>
          <w:numId w:val="1"/>
        </w:numPr>
        <w:ind w:hanging="358"/>
      </w:pPr>
      <w:r>
        <w:t xml:space="preserve">Umowa określa szczegółowo warunki dostępu dla Sieci FERC, na podstawie i zgodnie z Umową Ramową oraz Zamówieniem. </w:t>
      </w:r>
    </w:p>
    <w:p w14:paraId="412DD708" w14:textId="58AA9F18" w:rsidR="007D7613" w:rsidRDefault="00B26280">
      <w:pPr>
        <w:numPr>
          <w:ilvl w:val="0"/>
          <w:numId w:val="1"/>
        </w:numPr>
        <w:ind w:hanging="358"/>
      </w:pPr>
      <w:r>
        <w:t>Przedmiotem niniejszej Umowy jest świadczenie usługi dostępu telekomunikacyjnego</w:t>
      </w:r>
      <w:r>
        <w:t xml:space="preserve"> w zakresie szerokopasmowego dostępu do Lokalnej pętli abonenckiej, poprzez dostęp do węzłów sieci telekomunikacyjnej, na potrzeby sprzedaży usług szerokopasmowej transmisji danych (dalej jako „</w:t>
      </w:r>
      <w:r>
        <w:rPr>
          <w:b/>
        </w:rPr>
        <w:t>Usługa</w:t>
      </w:r>
      <w:r>
        <w:t xml:space="preserve">”). </w:t>
      </w:r>
    </w:p>
    <w:p w14:paraId="169F35E9" w14:textId="24A64346" w:rsidR="007D7613" w:rsidRDefault="00B26280">
      <w:pPr>
        <w:numPr>
          <w:ilvl w:val="0"/>
          <w:numId w:val="1"/>
        </w:numPr>
        <w:ind w:hanging="358"/>
      </w:pPr>
      <w:r>
        <w:t xml:space="preserve">Umowa została opracowana w oparciu o Rekomendacje UKE oraz Wymagania,  </w:t>
      </w:r>
      <w:r>
        <w:t xml:space="preserve">z poszanowaniem zasad sprawiedliwości oraz niedyskryminacji w zakresie realizacji dostępu hurtowego dla wszystkich zainteresowanych tym dostępem.  </w:t>
      </w:r>
    </w:p>
    <w:p w14:paraId="74E3E39D" w14:textId="77777777" w:rsidR="007D7613" w:rsidRDefault="00B26280">
      <w:pPr>
        <w:numPr>
          <w:ilvl w:val="0"/>
          <w:numId w:val="1"/>
        </w:numPr>
        <w:ind w:hanging="358"/>
      </w:pPr>
      <w:r>
        <w:t xml:space="preserve">Wszelkie wyrażenia użyte w niniejszej Umowie </w:t>
      </w:r>
      <w:proofErr w:type="gramStart"/>
      <w:r>
        <w:t>z dużej litery</w:t>
      </w:r>
      <w:proofErr w:type="gramEnd"/>
      <w:r>
        <w:t xml:space="preserve">, mają znaczenie nadane im w Umowie Ramowej.  </w:t>
      </w:r>
    </w:p>
    <w:p w14:paraId="659FF22C" w14:textId="77777777" w:rsidR="007D7613" w:rsidRDefault="00B26280">
      <w:pPr>
        <w:spacing w:after="85" w:line="259" w:lineRule="auto"/>
        <w:ind w:left="0" w:firstLine="0"/>
        <w:jc w:val="left"/>
      </w:pPr>
      <w:r>
        <w:lastRenderedPageBreak/>
        <w:t xml:space="preserve"> </w:t>
      </w:r>
    </w:p>
    <w:p w14:paraId="441A70CE" w14:textId="77777777" w:rsidR="007D7613" w:rsidRDefault="00B26280">
      <w:pPr>
        <w:spacing w:after="89" w:line="259" w:lineRule="auto"/>
        <w:ind w:left="2874" w:hanging="10"/>
        <w:jc w:val="left"/>
      </w:pPr>
      <w:r>
        <w:rPr>
          <w:b/>
        </w:rPr>
        <w:t xml:space="preserve">§ 2 Zakres Usługi i obowiązki Stron </w:t>
      </w:r>
    </w:p>
    <w:p w14:paraId="45665B1D" w14:textId="28132B1C" w:rsidR="007D7613" w:rsidRDefault="00B26280">
      <w:pPr>
        <w:numPr>
          <w:ilvl w:val="0"/>
          <w:numId w:val="2"/>
        </w:numPr>
        <w:ind w:hanging="358"/>
      </w:pPr>
      <w:r>
        <w:t>OSD zobowiązuje się świadczyć Usługi w sposób umożliwiający OK, oferowanie Usług Detalicznych na rzecz Abonentów OK, w każdym gospodarstwie domowym w PA, w oparciu o profile udostępnione przez OSD o parametrach technicznych nie gorszych niż świadczone Abonentom OSD oraz określonych w §</w:t>
      </w:r>
      <w:r>
        <w:t xml:space="preserve">3 Umowy, w tym pakietów usług powiązanych w oparciu o dostarczane przez OSD usługi szerokopasmowej transmisji danych. </w:t>
      </w:r>
      <w:r w:rsidR="00FE3830">
        <w:t>U</w:t>
      </w:r>
      <w:r w:rsidR="00FE3830" w:rsidRPr="00FE3830">
        <w:t>sługa BSA jest dostępna w każdym gospodarstwie domowym we wszystkich PA znajdujących się w zasięgu Sieci FERC</w:t>
      </w:r>
      <w:r w:rsidR="00FE3830">
        <w:t>.</w:t>
      </w:r>
    </w:p>
    <w:p w14:paraId="02C23DEE" w14:textId="77777777" w:rsidR="007D7613" w:rsidRDefault="00B26280">
      <w:pPr>
        <w:numPr>
          <w:ilvl w:val="0"/>
          <w:numId w:val="2"/>
        </w:numPr>
        <w:ind w:hanging="358"/>
      </w:pPr>
      <w:r>
        <w:t xml:space="preserve">OSD zobowiązuje się świadczyć Usługę zgodnie z warunkami Umowy Ramowej, Umowy, Wymagań oraz Zamówieniem na Usługę. Szczegółowy zakres Usługi określa Zamówienie, z zastrzeżeniem, że Zamówienie na Usługę dotyczy jednej Usługi, której odpowiada jedna Usługa Detaliczna OK, świadczona w danym PA.  </w:t>
      </w:r>
    </w:p>
    <w:p w14:paraId="70CE977E" w14:textId="77777777" w:rsidR="007D7613" w:rsidRDefault="00B26280">
      <w:pPr>
        <w:numPr>
          <w:ilvl w:val="0"/>
          <w:numId w:val="2"/>
        </w:numPr>
        <w:spacing w:after="85" w:line="259" w:lineRule="auto"/>
        <w:ind w:hanging="358"/>
      </w:pPr>
      <w:r>
        <w:t xml:space="preserve">OK jest zobowiązany do: </w:t>
      </w:r>
    </w:p>
    <w:p w14:paraId="4096BA48" w14:textId="77777777" w:rsidR="007D7613" w:rsidRDefault="00B26280">
      <w:pPr>
        <w:numPr>
          <w:ilvl w:val="1"/>
          <w:numId w:val="2"/>
        </w:numPr>
        <w:ind w:hanging="360"/>
      </w:pPr>
      <w:r>
        <w:t xml:space="preserve">instalacji i konfiguracji urządzenia obsługującego funkcjonalności Ethernet (m.in. VLAN </w:t>
      </w:r>
      <w:proofErr w:type="spellStart"/>
      <w:r>
        <w:t>tagging</w:t>
      </w:r>
      <w:proofErr w:type="spellEnd"/>
      <w:r>
        <w:t xml:space="preserve">); </w:t>
      </w:r>
    </w:p>
    <w:p w14:paraId="71753026" w14:textId="77777777" w:rsidR="007D7613" w:rsidRDefault="00B26280">
      <w:pPr>
        <w:numPr>
          <w:ilvl w:val="1"/>
          <w:numId w:val="2"/>
        </w:numPr>
        <w:spacing w:after="88" w:line="259" w:lineRule="auto"/>
        <w:ind w:hanging="360"/>
      </w:pPr>
      <w:r>
        <w:t xml:space="preserve">korzystanie z CPE kompatybilnych z węzłami OLT Sieci; </w:t>
      </w:r>
    </w:p>
    <w:p w14:paraId="37C51366" w14:textId="77777777" w:rsidR="007D7613" w:rsidRDefault="00B26280">
      <w:pPr>
        <w:numPr>
          <w:ilvl w:val="1"/>
          <w:numId w:val="2"/>
        </w:numPr>
        <w:ind w:hanging="360"/>
      </w:pPr>
      <w:r>
        <w:t xml:space="preserve">w przypadku korzystania z własnych urządzeń CPE, w tym ONT, podania wszystkich niezbędnych danych i informacji dotyczących CPE w celu zapewnienia integralności Sieci OK i OSD oraz świadczenia Usługi; </w:t>
      </w:r>
    </w:p>
    <w:p w14:paraId="1E85F19F" w14:textId="77777777" w:rsidR="007D7613" w:rsidRDefault="00B26280">
      <w:pPr>
        <w:numPr>
          <w:ilvl w:val="1"/>
          <w:numId w:val="2"/>
        </w:numPr>
        <w:spacing w:after="85" w:line="259" w:lineRule="auto"/>
        <w:ind w:hanging="360"/>
      </w:pPr>
      <w:r>
        <w:t xml:space="preserve">przesyłania Prognoz zgodnie z warunkami niniejszej Umowy; </w:t>
      </w:r>
    </w:p>
    <w:p w14:paraId="139311C5" w14:textId="77777777" w:rsidR="007D7613" w:rsidRDefault="00B26280">
      <w:pPr>
        <w:numPr>
          <w:ilvl w:val="1"/>
          <w:numId w:val="2"/>
        </w:numPr>
        <w:ind w:hanging="360"/>
      </w:pPr>
      <w:r>
        <w:t xml:space="preserve">do zapłaty wynagrodzenia z tytułu świadczenia przez OSD Usług, zgodnie z Cennikiem, stanowiącym Załącznik nr 5 do Umowy Ramowej. </w:t>
      </w:r>
    </w:p>
    <w:p w14:paraId="0C1D5E1A" w14:textId="77777777" w:rsidR="007D7613" w:rsidRDefault="00B26280">
      <w:pPr>
        <w:spacing w:after="87" w:line="259" w:lineRule="auto"/>
        <w:ind w:left="0" w:firstLine="0"/>
        <w:jc w:val="left"/>
      </w:pPr>
      <w:r>
        <w:t xml:space="preserve"> </w:t>
      </w:r>
    </w:p>
    <w:p w14:paraId="5DAFD360" w14:textId="77777777" w:rsidR="007D7613" w:rsidRDefault="00B26280">
      <w:pPr>
        <w:pStyle w:val="Nagwek1"/>
        <w:spacing w:after="85"/>
        <w:ind w:left="10" w:right="10"/>
      </w:pPr>
      <w:r>
        <w:t xml:space="preserve">§ 3 Parametry techniczne i jakościowe Usługi </w:t>
      </w:r>
    </w:p>
    <w:p w14:paraId="3D4CF21A" w14:textId="77777777" w:rsidR="007D7613" w:rsidRDefault="00B26280">
      <w:pPr>
        <w:numPr>
          <w:ilvl w:val="0"/>
          <w:numId w:val="3"/>
        </w:numPr>
        <w:ind w:hanging="358"/>
      </w:pPr>
      <w:r>
        <w:t xml:space="preserve">Niezależnie od zastosowanej technologii budowy sieci i warstwy sieci, w której zlokalizowano PDU, Usługa w Sieci FERC będzie realizowana w oparciu o technologię Ethernet VLAN (IEEE 802.1Q).  </w:t>
      </w:r>
    </w:p>
    <w:p w14:paraId="4BF09C52" w14:textId="77777777" w:rsidR="007D7613" w:rsidRDefault="00B26280">
      <w:pPr>
        <w:numPr>
          <w:ilvl w:val="0"/>
          <w:numId w:val="3"/>
        </w:numPr>
        <w:ind w:hanging="358"/>
      </w:pPr>
      <w:r>
        <w:t xml:space="preserve">W ramach Usługi, OSD zapewnia OK dostęp telekomunikacyjny na poziomie Ethernet oraz opcjonalnie IP Niezarządzany w zakresie świadczenia usług szerokopasmowych. </w:t>
      </w:r>
    </w:p>
    <w:p w14:paraId="68A9DD90" w14:textId="77777777" w:rsidR="007D7613" w:rsidRDefault="00B26280">
      <w:pPr>
        <w:numPr>
          <w:ilvl w:val="0"/>
          <w:numId w:val="3"/>
        </w:numPr>
        <w:ind w:hanging="358"/>
      </w:pPr>
      <w:r>
        <w:t xml:space="preserve">Dla realizacji styku międzyoperatorskiego na poziomie Ethernet w PWR, OSD zapewnia możliwość korzystania z poniższych typów interfejsów optycznych: </w:t>
      </w:r>
    </w:p>
    <w:p w14:paraId="57A5CD1B" w14:textId="77777777" w:rsidR="007D7613" w:rsidRDefault="00B26280">
      <w:pPr>
        <w:numPr>
          <w:ilvl w:val="1"/>
          <w:numId w:val="3"/>
        </w:numPr>
        <w:spacing w:after="85" w:line="259" w:lineRule="auto"/>
        <w:ind w:hanging="360"/>
      </w:pPr>
      <w:r>
        <w:t xml:space="preserve">10 GbE (Ethernet – 802.3 IEEE Standard for Information </w:t>
      </w:r>
      <w:proofErr w:type="spellStart"/>
      <w:r>
        <w:t>technology</w:t>
      </w:r>
      <w:proofErr w:type="spellEnd"/>
      <w:r>
        <w:t xml:space="preserve"> – IEEE </w:t>
      </w:r>
      <w:proofErr w:type="spellStart"/>
      <w:r>
        <w:t>Computer</w:t>
      </w:r>
      <w:proofErr w:type="spellEnd"/>
      <w:r>
        <w:t xml:space="preserve"> </w:t>
      </w:r>
    </w:p>
    <w:p w14:paraId="0EBA5EF3" w14:textId="77777777" w:rsidR="007D7613" w:rsidRDefault="00B26280">
      <w:pPr>
        <w:spacing w:after="88" w:line="259" w:lineRule="auto"/>
        <w:ind w:left="720" w:firstLine="0"/>
      </w:pPr>
      <w:proofErr w:type="spellStart"/>
      <w:r>
        <w:t>Society</w:t>
      </w:r>
      <w:proofErr w:type="spellEnd"/>
      <w:r>
        <w:t>/</w:t>
      </w:r>
      <w:proofErr w:type="spellStart"/>
      <w:r>
        <w:t>Local</w:t>
      </w:r>
      <w:proofErr w:type="spellEnd"/>
      <w:r>
        <w:t xml:space="preserve"> and Metropolitan </w:t>
      </w:r>
      <w:proofErr w:type="spellStart"/>
      <w:r>
        <w:t>Area</w:t>
      </w:r>
      <w:proofErr w:type="spellEnd"/>
      <w:r>
        <w:t xml:space="preserve"> Networks); </w:t>
      </w:r>
    </w:p>
    <w:p w14:paraId="1ED95776" w14:textId="77777777" w:rsidR="007D7613" w:rsidRDefault="00B26280">
      <w:pPr>
        <w:numPr>
          <w:ilvl w:val="1"/>
          <w:numId w:val="3"/>
        </w:numPr>
        <w:spacing w:after="87" w:line="259" w:lineRule="auto"/>
        <w:ind w:hanging="360"/>
      </w:pPr>
      <w:r>
        <w:t xml:space="preserve">40 GbE (Ethernet – 802.3 IEEE Standard for Information </w:t>
      </w:r>
      <w:proofErr w:type="spellStart"/>
      <w:r>
        <w:t>technology</w:t>
      </w:r>
      <w:proofErr w:type="spellEnd"/>
      <w:r>
        <w:t xml:space="preserve"> – IEEE </w:t>
      </w:r>
      <w:proofErr w:type="spellStart"/>
      <w:r>
        <w:t>Computer</w:t>
      </w:r>
      <w:proofErr w:type="spellEnd"/>
      <w:r>
        <w:t xml:space="preserve"> </w:t>
      </w:r>
    </w:p>
    <w:p w14:paraId="12FD12C7" w14:textId="77777777" w:rsidR="007D7613" w:rsidRDefault="00B26280">
      <w:pPr>
        <w:spacing w:after="85" w:line="259" w:lineRule="auto"/>
        <w:ind w:left="720" w:firstLine="0"/>
      </w:pPr>
      <w:proofErr w:type="spellStart"/>
      <w:r>
        <w:t>Society</w:t>
      </w:r>
      <w:proofErr w:type="spellEnd"/>
      <w:r>
        <w:t>/</w:t>
      </w:r>
      <w:proofErr w:type="spellStart"/>
      <w:r>
        <w:t>Local</w:t>
      </w:r>
      <w:proofErr w:type="spellEnd"/>
      <w:r>
        <w:t xml:space="preserve"> and Metropolitan </w:t>
      </w:r>
      <w:proofErr w:type="spellStart"/>
      <w:r>
        <w:t>Area</w:t>
      </w:r>
      <w:proofErr w:type="spellEnd"/>
      <w:r>
        <w:t xml:space="preserve"> Networks); </w:t>
      </w:r>
    </w:p>
    <w:p w14:paraId="11C605A8" w14:textId="77777777" w:rsidR="007D7613" w:rsidRDefault="00B26280">
      <w:pPr>
        <w:numPr>
          <w:ilvl w:val="1"/>
          <w:numId w:val="3"/>
        </w:numPr>
        <w:ind w:hanging="360"/>
      </w:pPr>
      <w:r>
        <w:t xml:space="preserve">100 GbE (Ethernet – 802.3 IEEE Standard for Information </w:t>
      </w:r>
      <w:proofErr w:type="spellStart"/>
      <w:r>
        <w:t>technology</w:t>
      </w:r>
      <w:proofErr w:type="spellEnd"/>
      <w:r>
        <w:t xml:space="preserve"> – IEEE </w:t>
      </w:r>
      <w:proofErr w:type="spellStart"/>
      <w:r>
        <w:t>Computer</w:t>
      </w:r>
      <w:proofErr w:type="spellEnd"/>
      <w:r>
        <w:t xml:space="preserve"> </w:t>
      </w:r>
      <w:proofErr w:type="spellStart"/>
      <w:r>
        <w:t>Society</w:t>
      </w:r>
      <w:proofErr w:type="spellEnd"/>
      <w:r>
        <w:t>/</w:t>
      </w:r>
      <w:proofErr w:type="spellStart"/>
      <w:r>
        <w:t>Local</w:t>
      </w:r>
      <w:proofErr w:type="spellEnd"/>
      <w:r>
        <w:t xml:space="preserve"> and Metropolitan </w:t>
      </w:r>
      <w:proofErr w:type="spellStart"/>
      <w:r>
        <w:t>Area</w:t>
      </w:r>
      <w:proofErr w:type="spellEnd"/>
      <w:r>
        <w:t xml:space="preserve"> Networks). </w:t>
      </w:r>
    </w:p>
    <w:p w14:paraId="74D3BBB2" w14:textId="77777777" w:rsidR="007D7613" w:rsidRDefault="00B26280">
      <w:pPr>
        <w:numPr>
          <w:ilvl w:val="0"/>
          <w:numId w:val="3"/>
        </w:numPr>
        <w:spacing w:after="88" w:line="259" w:lineRule="auto"/>
        <w:ind w:hanging="358"/>
      </w:pPr>
      <w:r>
        <w:t xml:space="preserve">OK dokonuje wyboru typu interfejsu optycznego. </w:t>
      </w:r>
    </w:p>
    <w:p w14:paraId="79D4884F" w14:textId="77777777" w:rsidR="007D7613" w:rsidRDefault="00B26280">
      <w:pPr>
        <w:numPr>
          <w:ilvl w:val="0"/>
          <w:numId w:val="3"/>
        </w:numPr>
        <w:ind w:hanging="358"/>
      </w:pPr>
      <w:r>
        <w:t xml:space="preserve">Realizacja Usługi możliwa jest w innej technologii niż Ethernet, uzgodnionej wspólnie przez OSD oraz OK, pod warunkiem zapewnienia funkcjonalności równoważnych do Usługi Ethernet. Zastosowanie innej technologii nie powinno prowadzić do nierównoważnych warunków dostępu do Usługi dla OK. Zastosowana technologia powinna być zgodna z międzynarodowymi standardami. </w:t>
      </w:r>
      <w:r>
        <w:lastRenderedPageBreak/>
        <w:t xml:space="preserve">OSD po uzgodnieniu z OK trybu realizacji Usługi powinien przedstawić OK szczegółowe warunki techniczne dostępu do tej usługi. </w:t>
      </w:r>
    </w:p>
    <w:p w14:paraId="697E2739" w14:textId="77777777" w:rsidR="007D7613" w:rsidRDefault="00B26280">
      <w:pPr>
        <w:numPr>
          <w:ilvl w:val="0"/>
          <w:numId w:val="3"/>
        </w:numPr>
        <w:ind w:hanging="358"/>
      </w:pPr>
      <w:r>
        <w:t xml:space="preserve">Ruch Abonentów OK dla poszczególnych CPE będzie się odbywać w oparciu o zewnętrzny VLAN. Ruch Abonentów OK z CPE będzie mapowany do jednego VLAN per klasa usługi. </w:t>
      </w:r>
    </w:p>
    <w:p w14:paraId="27B39E89" w14:textId="77777777" w:rsidR="007D7613" w:rsidRDefault="00B26280">
      <w:pPr>
        <w:numPr>
          <w:ilvl w:val="0"/>
          <w:numId w:val="3"/>
        </w:numPr>
        <w:ind w:hanging="358"/>
      </w:pPr>
      <w:r>
        <w:t xml:space="preserve">Urządzenie aktywne w węźle dostępowym będzie identyfikowane przez VLAN nadawany przez OSD per klasa usługi. OSD będzie zestawiać do 4 VLAN do każdego CPE. </w:t>
      </w:r>
    </w:p>
    <w:p w14:paraId="30D5A5AB" w14:textId="77777777" w:rsidR="007D7613" w:rsidRDefault="00B26280">
      <w:pPr>
        <w:numPr>
          <w:ilvl w:val="0"/>
          <w:numId w:val="3"/>
        </w:numPr>
        <w:ind w:hanging="358"/>
      </w:pPr>
      <w:r>
        <w:t xml:space="preserve">Dostęp na poziomie IP Niezarządzanym będzie realizowany jako odsprzedaż Usług Detalicznych świadczonych przez OSD rozumianych jako sprzedaż własnych usług szerokopasmowych w oparciu o profile udostępnione przez OSD, w tym z zapewnieniem dostępu do sieci Internet. </w:t>
      </w:r>
    </w:p>
    <w:p w14:paraId="0F4157EE" w14:textId="77777777" w:rsidR="007D7613" w:rsidRDefault="00B26280">
      <w:pPr>
        <w:numPr>
          <w:ilvl w:val="0"/>
          <w:numId w:val="3"/>
        </w:numPr>
        <w:ind w:hanging="358"/>
      </w:pPr>
      <w:r>
        <w:t xml:space="preserve">Usługi abonenckie dla Abonentów OK, będą realizowane zgodnie z architekturą usług świadczonych detalicznie przez OSD dla Abonentów OSD i będą obejmować dostęp do Lokalnej pętli abonenckiej wraz z jej utrzymaniem oraz transmisją do PDU. </w:t>
      </w:r>
    </w:p>
    <w:p w14:paraId="58D711E3" w14:textId="77777777" w:rsidR="007D7613" w:rsidRDefault="00B26280">
      <w:pPr>
        <w:numPr>
          <w:ilvl w:val="0"/>
          <w:numId w:val="3"/>
        </w:numPr>
        <w:ind w:hanging="358"/>
      </w:pPr>
      <w:r>
        <w:t xml:space="preserve">W ramach dostępu na poziomie IP Niezarządzanym, OSD zapewnia OK funkcjonalność następujących elementów Sieci FERC: </w:t>
      </w:r>
    </w:p>
    <w:p w14:paraId="4DD615CB" w14:textId="77777777" w:rsidR="007D7613" w:rsidRDefault="00B26280">
      <w:pPr>
        <w:numPr>
          <w:ilvl w:val="1"/>
          <w:numId w:val="3"/>
        </w:numPr>
        <w:ind w:hanging="360"/>
      </w:pPr>
      <w:r>
        <w:t xml:space="preserve">Lokalnych pętli abonenckich lub w przypadku sieci radiowych odcinka sieci ostatniej mili wraz z kartami na urządzeniach DSLAM/ IP DSLAM/ DSLAM Hybrydowy/OLT, do których przyłączone są Lokalne pętle abonenckie bądź urządzeniach stacji bazowej sieci radiowej, na których możliwa jest realizacja szerokopasmowej transmisji danych; </w:t>
      </w:r>
    </w:p>
    <w:p w14:paraId="290EEEE7" w14:textId="77777777" w:rsidR="007D7613" w:rsidRDefault="00B26280">
      <w:pPr>
        <w:numPr>
          <w:ilvl w:val="1"/>
          <w:numId w:val="3"/>
        </w:numPr>
        <w:ind w:hanging="360"/>
      </w:pPr>
      <w:r>
        <w:t xml:space="preserve">sieci transmisji danych – Sieci IP, urządzeń BRAS bądź innych realizujących funkcję dostępu do sieci IP, Sieci Ethernet i urządzeń DSLAM/ IP DSLAM/ DSLAM Hybrydowy/OLT (poza kartami, do których przyłączone są Lokalne pętle abonenckie) lub radiolinie. </w:t>
      </w:r>
    </w:p>
    <w:p w14:paraId="3CEFEBCF" w14:textId="77777777" w:rsidR="007D7613" w:rsidRDefault="00B26280">
      <w:pPr>
        <w:numPr>
          <w:ilvl w:val="0"/>
          <w:numId w:val="3"/>
        </w:numPr>
        <w:ind w:hanging="358"/>
      </w:pPr>
      <w:r>
        <w:t xml:space="preserve">Dla poziomu dostępu IP Niezarządzanego, OSD realizuje całość Usługi od strony technicznej, o jakości nie gorszej niż Usługa Detaliczna świadczona przez OSD. </w:t>
      </w:r>
    </w:p>
    <w:p w14:paraId="5B364082" w14:textId="77777777" w:rsidR="007D7613" w:rsidRDefault="00B26280">
      <w:pPr>
        <w:numPr>
          <w:ilvl w:val="0"/>
          <w:numId w:val="3"/>
        </w:numPr>
        <w:ind w:hanging="358"/>
      </w:pPr>
      <w:r>
        <w:t xml:space="preserve">Dla poziomu dostępu IP Niezarządzanego OSD zapewnia aplikację na CPE, za pomocą której następuje dokonanie rejestracji Abonenta OK. OSD zapewni, aby w trakcie procesu rejestracji Abonenta OK nie były prezentowane znaki towarowe ani reklamy. </w:t>
      </w:r>
    </w:p>
    <w:p w14:paraId="4B55B309" w14:textId="77777777" w:rsidR="007D7613" w:rsidRDefault="00B26280">
      <w:pPr>
        <w:numPr>
          <w:ilvl w:val="0"/>
          <w:numId w:val="3"/>
        </w:numPr>
        <w:ind w:hanging="358"/>
      </w:pPr>
      <w:r>
        <w:t xml:space="preserve">Dla poziomu dostępu IP Niezarządzanego pomoc techniczną pierwszej linii wsparcia oraz obsługę reklamacji Abonentów OK zapewnia OK. </w:t>
      </w:r>
    </w:p>
    <w:p w14:paraId="31C24B1E" w14:textId="77777777" w:rsidR="007D7613" w:rsidRDefault="00B26280">
      <w:pPr>
        <w:numPr>
          <w:ilvl w:val="0"/>
          <w:numId w:val="3"/>
        </w:numPr>
        <w:ind w:hanging="358"/>
      </w:pPr>
      <w:r>
        <w:t xml:space="preserve">W ramach dostępu na poziomie Ethernet, OSD zapewnia OK funkcjonalność następujących elementów Sieci: </w:t>
      </w:r>
    </w:p>
    <w:p w14:paraId="05C8987E" w14:textId="77777777" w:rsidR="007D7613" w:rsidRDefault="00B26280">
      <w:pPr>
        <w:numPr>
          <w:ilvl w:val="1"/>
          <w:numId w:val="3"/>
        </w:numPr>
        <w:ind w:hanging="360"/>
      </w:pPr>
      <w:r>
        <w:t xml:space="preserve">Lokalnych pętli abonenckich lub w przypadku sieci radiowych odcinka sieci ostatniej mili wraz z kartami na urządzeniach IP DSLAM/ DSLAM Hybrydowy/OLT, do których przyłączone są Lokalne pętle abonenckie bądź urządzeniach stacji bazowej sieci radiowej, na których możliwa jest realizacja szerokopasmowej transmisji danych; </w:t>
      </w:r>
    </w:p>
    <w:p w14:paraId="7B8EBE09" w14:textId="77777777" w:rsidR="007D7613" w:rsidRDefault="00B26280">
      <w:pPr>
        <w:numPr>
          <w:ilvl w:val="1"/>
          <w:numId w:val="3"/>
        </w:numPr>
        <w:ind w:hanging="360"/>
      </w:pPr>
      <w:r>
        <w:t xml:space="preserve">sieci transmisji danych – sieci Ethernet, urządzeń IP DSLAM/ DSLAM Hybrydowy/OLT (poza kartami, do których przyłączone są Lokalne pętle abonenckie)/ radiolinii zapewniających transmisję danych pomiędzy abonenckimi odcinkami ostatniej mili udostępnionymi OK w PDU; </w:t>
      </w:r>
    </w:p>
    <w:p w14:paraId="2E1D5C2D" w14:textId="77777777" w:rsidR="007D7613" w:rsidRDefault="00B26280">
      <w:pPr>
        <w:numPr>
          <w:ilvl w:val="1"/>
          <w:numId w:val="3"/>
        </w:numPr>
        <w:spacing w:after="88" w:line="259" w:lineRule="auto"/>
        <w:ind w:hanging="360"/>
      </w:pPr>
      <w:r>
        <w:t xml:space="preserve">węzłów Ethernet, przy których realizowane są PDU. </w:t>
      </w:r>
    </w:p>
    <w:p w14:paraId="3765FC65" w14:textId="77777777" w:rsidR="007D7613" w:rsidRDefault="00B26280">
      <w:pPr>
        <w:numPr>
          <w:ilvl w:val="0"/>
          <w:numId w:val="3"/>
        </w:numPr>
        <w:ind w:hanging="358"/>
      </w:pPr>
      <w:r>
        <w:t xml:space="preserve">OSD oferuje OK dla każdego gospodarstwa domowego w PA znajdującym się zasięgu Sieci FERC zarówno Usługę wraz z urządzeniem CPE, jak też bez urządzenia CPE. OK dla Usługi nie może używać CPE niekompatybilnych z węzłami OLT Sieci. </w:t>
      </w:r>
    </w:p>
    <w:p w14:paraId="5E90848F" w14:textId="77777777" w:rsidR="007D7613" w:rsidRDefault="00B26280">
      <w:pPr>
        <w:numPr>
          <w:ilvl w:val="0"/>
          <w:numId w:val="3"/>
        </w:numPr>
        <w:ind w:hanging="358"/>
      </w:pPr>
      <w:r>
        <w:t xml:space="preserve">OK, który korzysta z Usługi i stosuje własne urządzenie CPE w tym ONT, podaje OSD wszystkie niezbędne dane i informacje dotyczące CPE w celu zapewnienia integralności sieci i świadczenia usług. </w:t>
      </w:r>
    </w:p>
    <w:p w14:paraId="693A41EE" w14:textId="77777777" w:rsidR="007D7613" w:rsidRDefault="00B26280">
      <w:pPr>
        <w:numPr>
          <w:ilvl w:val="0"/>
          <w:numId w:val="3"/>
        </w:numPr>
        <w:ind w:hanging="358"/>
      </w:pPr>
      <w:r>
        <w:t>OSD udostępnia PDU dla Usługi, w co najmniej jednej lokalizacji na danym obszarze konkursowym, w której znajduje się węzeł Sieci FERC oraz istnieje punkt styku z dostawcą usługi dostępu do Internetu. W przypadku OSD świadczącego Usługi na kilku obszarach konkursowych w danym województwie, dopuszcza się aby OSD zapewnił jeden PWR, który obejmuje swoim zasięgiem wszystkie obszary konkursowe tego OSD w tym województwie. Niezależnie od tych wymagań OSD i OK mają prawo porozumieć się, gdzie zostanie zlokalizowan</w:t>
      </w:r>
      <w:r>
        <w:t xml:space="preserve">y PWR dla danego OK pod warunkiem, że miejsce to zostanie zaakceptowane przez obie Strony. W takim wypadku PWR nie musi znajdować się w obszarze konkursowym. PWR pełni rolę PDU dla Usługi. </w:t>
      </w:r>
    </w:p>
    <w:p w14:paraId="7B003B72" w14:textId="77777777" w:rsidR="007D7613" w:rsidRDefault="00B26280">
      <w:pPr>
        <w:numPr>
          <w:ilvl w:val="0"/>
          <w:numId w:val="3"/>
        </w:numPr>
        <w:ind w:hanging="358"/>
      </w:pPr>
      <w:r>
        <w:t xml:space="preserve">Dostęp do PDU dla Usługi nie powinien być ograniczony, a każdy OK powinien mieć możliwość wprowadzenia do tego PDU swoich włókien światłowodowych. </w:t>
      </w:r>
    </w:p>
    <w:p w14:paraId="52F58B82" w14:textId="77777777" w:rsidR="007D7613" w:rsidRDefault="00B26280">
      <w:pPr>
        <w:numPr>
          <w:ilvl w:val="0"/>
          <w:numId w:val="3"/>
        </w:numPr>
        <w:spacing w:after="84" w:line="259" w:lineRule="auto"/>
        <w:ind w:hanging="358"/>
      </w:pPr>
      <w:r>
        <w:t xml:space="preserve">Stroną zarządzającą VLAN różnych OK jest OSD. </w:t>
      </w:r>
    </w:p>
    <w:p w14:paraId="30F5E740" w14:textId="77777777" w:rsidR="007D7613" w:rsidRDefault="00B26280">
      <w:pPr>
        <w:numPr>
          <w:ilvl w:val="0"/>
          <w:numId w:val="3"/>
        </w:numPr>
        <w:spacing w:after="87" w:line="259" w:lineRule="auto"/>
        <w:ind w:hanging="358"/>
      </w:pPr>
      <w:r>
        <w:t xml:space="preserve">PWR pełni rolę PDU dla Usługi. </w:t>
      </w:r>
    </w:p>
    <w:p w14:paraId="64B540BD" w14:textId="77777777" w:rsidR="007D7613" w:rsidRDefault="00B26280">
      <w:pPr>
        <w:numPr>
          <w:ilvl w:val="0"/>
          <w:numId w:val="3"/>
        </w:numPr>
        <w:spacing w:line="259" w:lineRule="auto"/>
        <w:ind w:hanging="358"/>
      </w:pPr>
      <w:r>
        <w:t xml:space="preserve">Wymagania minimalne dla usług dostępu do Internetu w PA oraz SED: </w:t>
      </w:r>
    </w:p>
    <w:tbl>
      <w:tblPr>
        <w:tblStyle w:val="TableGrid"/>
        <w:tblW w:w="8786" w:type="dxa"/>
        <w:tblInd w:w="283" w:type="dxa"/>
        <w:tblCellMar>
          <w:top w:w="41" w:type="dxa"/>
          <w:left w:w="108" w:type="dxa"/>
          <w:bottom w:w="0" w:type="dxa"/>
          <w:right w:w="50" w:type="dxa"/>
        </w:tblCellMar>
        <w:tblLook w:val="04A0" w:firstRow="1" w:lastRow="0" w:firstColumn="1" w:lastColumn="0" w:noHBand="0" w:noVBand="1"/>
      </w:tblPr>
      <w:tblGrid>
        <w:gridCol w:w="517"/>
        <w:gridCol w:w="2698"/>
        <w:gridCol w:w="2652"/>
        <w:gridCol w:w="2919"/>
      </w:tblGrid>
      <w:tr w:rsidR="007D7613" w14:paraId="137EACCB" w14:textId="77777777">
        <w:trPr>
          <w:trHeight w:val="319"/>
        </w:trPr>
        <w:tc>
          <w:tcPr>
            <w:tcW w:w="516" w:type="dxa"/>
            <w:tcBorders>
              <w:top w:val="single" w:sz="4" w:space="0" w:color="999999"/>
              <w:left w:val="single" w:sz="4" w:space="0" w:color="999999"/>
              <w:bottom w:val="single" w:sz="12" w:space="0" w:color="666666"/>
              <w:right w:val="single" w:sz="4" w:space="0" w:color="999999"/>
            </w:tcBorders>
          </w:tcPr>
          <w:p w14:paraId="18817F3C" w14:textId="77777777" w:rsidR="007D7613" w:rsidRDefault="00B26280">
            <w:pPr>
              <w:spacing w:after="0" w:line="259" w:lineRule="auto"/>
              <w:ind w:left="2" w:firstLine="0"/>
              <w:jc w:val="left"/>
            </w:pPr>
            <w:r>
              <w:rPr>
                <w:b/>
              </w:rPr>
              <w:t xml:space="preserve">Lp. </w:t>
            </w:r>
          </w:p>
        </w:tc>
        <w:tc>
          <w:tcPr>
            <w:tcW w:w="2698" w:type="dxa"/>
            <w:tcBorders>
              <w:top w:val="single" w:sz="4" w:space="0" w:color="999999"/>
              <w:left w:val="single" w:sz="4" w:space="0" w:color="999999"/>
              <w:bottom w:val="single" w:sz="12" w:space="0" w:color="666666"/>
              <w:right w:val="single" w:sz="4" w:space="0" w:color="999999"/>
            </w:tcBorders>
          </w:tcPr>
          <w:p w14:paraId="3AFADBD7" w14:textId="77777777" w:rsidR="007D7613" w:rsidRDefault="00B26280">
            <w:pPr>
              <w:spacing w:after="0" w:line="259" w:lineRule="auto"/>
              <w:ind w:left="2" w:firstLine="0"/>
              <w:jc w:val="left"/>
            </w:pPr>
            <w:r>
              <w:rPr>
                <w:b/>
              </w:rPr>
              <w:t xml:space="preserve">Zakres Usługi </w:t>
            </w:r>
          </w:p>
        </w:tc>
        <w:tc>
          <w:tcPr>
            <w:tcW w:w="5571" w:type="dxa"/>
            <w:gridSpan w:val="2"/>
            <w:tcBorders>
              <w:top w:val="single" w:sz="4" w:space="0" w:color="999999"/>
              <w:left w:val="single" w:sz="4" w:space="0" w:color="999999"/>
              <w:bottom w:val="single" w:sz="12" w:space="0" w:color="666666"/>
              <w:right w:val="single" w:sz="4" w:space="0" w:color="999999"/>
            </w:tcBorders>
          </w:tcPr>
          <w:p w14:paraId="44D0A60A" w14:textId="77777777" w:rsidR="007D7613" w:rsidRDefault="00B26280">
            <w:pPr>
              <w:spacing w:after="0" w:line="259" w:lineRule="auto"/>
              <w:ind w:left="0" w:firstLine="0"/>
              <w:jc w:val="left"/>
            </w:pPr>
            <w:r>
              <w:rPr>
                <w:b/>
              </w:rPr>
              <w:t xml:space="preserve">Wymagania minimalne dla usług dostępu do Internetu </w:t>
            </w:r>
          </w:p>
        </w:tc>
      </w:tr>
      <w:tr w:rsidR="007D7613" w14:paraId="77DB36DE" w14:textId="77777777">
        <w:trPr>
          <w:trHeight w:val="1514"/>
        </w:trPr>
        <w:tc>
          <w:tcPr>
            <w:tcW w:w="516" w:type="dxa"/>
            <w:tcBorders>
              <w:top w:val="single" w:sz="12" w:space="0" w:color="666666"/>
              <w:left w:val="single" w:sz="4" w:space="0" w:color="999999"/>
              <w:bottom w:val="single" w:sz="4" w:space="0" w:color="999999"/>
              <w:right w:val="single" w:sz="4" w:space="0" w:color="999999"/>
            </w:tcBorders>
          </w:tcPr>
          <w:p w14:paraId="7DB7B571" w14:textId="77777777" w:rsidR="007D7613" w:rsidRDefault="00B26280">
            <w:pPr>
              <w:spacing w:after="0" w:line="259" w:lineRule="auto"/>
              <w:ind w:left="2" w:firstLine="0"/>
              <w:jc w:val="left"/>
            </w:pPr>
            <w:r>
              <w:rPr>
                <w:b/>
              </w:rPr>
              <w:t xml:space="preserve">1. </w:t>
            </w:r>
          </w:p>
        </w:tc>
        <w:tc>
          <w:tcPr>
            <w:tcW w:w="2698" w:type="dxa"/>
            <w:tcBorders>
              <w:top w:val="single" w:sz="12" w:space="0" w:color="666666"/>
              <w:left w:val="single" w:sz="4" w:space="0" w:color="999999"/>
              <w:bottom w:val="single" w:sz="4" w:space="0" w:color="999999"/>
              <w:right w:val="single" w:sz="4" w:space="0" w:color="999999"/>
            </w:tcBorders>
          </w:tcPr>
          <w:p w14:paraId="0BB8BE1E" w14:textId="77777777" w:rsidR="007D7613" w:rsidRDefault="00B26280">
            <w:pPr>
              <w:spacing w:after="0" w:line="259" w:lineRule="auto"/>
              <w:ind w:left="2" w:firstLine="0"/>
              <w:jc w:val="left"/>
            </w:pPr>
            <w:r>
              <w:t xml:space="preserve">PA </w:t>
            </w:r>
          </w:p>
        </w:tc>
        <w:tc>
          <w:tcPr>
            <w:tcW w:w="2652" w:type="dxa"/>
            <w:tcBorders>
              <w:top w:val="single" w:sz="12" w:space="0" w:color="666666"/>
              <w:left w:val="single" w:sz="4" w:space="0" w:color="999999"/>
              <w:bottom w:val="single" w:sz="4" w:space="0" w:color="999999"/>
              <w:right w:val="single" w:sz="4" w:space="0" w:color="999999"/>
            </w:tcBorders>
          </w:tcPr>
          <w:p w14:paraId="4962475C" w14:textId="77777777" w:rsidR="007D7613" w:rsidRDefault="00B26280">
            <w:pPr>
              <w:spacing w:after="36" w:line="313" w:lineRule="auto"/>
              <w:ind w:left="86" w:right="61" w:firstLine="0"/>
            </w:pPr>
            <w:r>
              <w:t xml:space="preserve">minimalna gwarantowana przepustowość mierzona na CPE w dół od Węzła dostępowego do CPE </w:t>
            </w:r>
          </w:p>
          <w:p w14:paraId="5A5872AE" w14:textId="77777777" w:rsidR="007D7613" w:rsidRDefault="00B26280">
            <w:pPr>
              <w:spacing w:after="0" w:line="259" w:lineRule="auto"/>
              <w:ind w:left="86" w:firstLine="0"/>
              <w:jc w:val="left"/>
            </w:pPr>
            <w:r>
              <w:t xml:space="preserve">(download) – 300 Mb/s. </w:t>
            </w:r>
          </w:p>
        </w:tc>
        <w:tc>
          <w:tcPr>
            <w:tcW w:w="2919" w:type="dxa"/>
            <w:tcBorders>
              <w:top w:val="single" w:sz="12" w:space="0" w:color="666666"/>
              <w:left w:val="single" w:sz="4" w:space="0" w:color="999999"/>
              <w:bottom w:val="single" w:sz="4" w:space="0" w:color="999999"/>
              <w:right w:val="single" w:sz="4" w:space="0" w:color="999999"/>
            </w:tcBorders>
          </w:tcPr>
          <w:p w14:paraId="0E346A63" w14:textId="77777777" w:rsidR="007D7613" w:rsidRDefault="00B26280">
            <w:pPr>
              <w:spacing w:after="0" w:line="313" w:lineRule="auto"/>
              <w:ind w:left="120" w:right="59" w:firstLine="0"/>
            </w:pPr>
            <w:r>
              <w:t xml:space="preserve">minimalna gwarantowana przepustowość mierzona na CPE w górę od CPE do </w:t>
            </w:r>
          </w:p>
          <w:p w14:paraId="0BE1FE08" w14:textId="77777777" w:rsidR="007D7613" w:rsidRDefault="00B26280">
            <w:pPr>
              <w:spacing w:after="0" w:line="259" w:lineRule="auto"/>
              <w:ind w:left="120" w:firstLine="0"/>
            </w:pPr>
            <w:r>
              <w:t xml:space="preserve">Węzła dostępowego (upload) – 100 Mb/s. </w:t>
            </w:r>
          </w:p>
        </w:tc>
      </w:tr>
      <w:tr w:rsidR="007D7613" w14:paraId="51FC2691" w14:textId="77777777">
        <w:trPr>
          <w:trHeight w:val="1508"/>
        </w:trPr>
        <w:tc>
          <w:tcPr>
            <w:tcW w:w="516" w:type="dxa"/>
            <w:tcBorders>
              <w:top w:val="single" w:sz="4" w:space="0" w:color="999999"/>
              <w:left w:val="single" w:sz="4" w:space="0" w:color="999999"/>
              <w:bottom w:val="single" w:sz="4" w:space="0" w:color="999999"/>
              <w:right w:val="single" w:sz="4" w:space="0" w:color="999999"/>
            </w:tcBorders>
          </w:tcPr>
          <w:p w14:paraId="2FD4EB2B" w14:textId="77777777" w:rsidR="007D7613" w:rsidRDefault="00B26280">
            <w:pPr>
              <w:spacing w:after="0" w:line="259" w:lineRule="auto"/>
              <w:ind w:left="2" w:firstLine="0"/>
              <w:jc w:val="left"/>
            </w:pPr>
            <w:r>
              <w:rPr>
                <w:b/>
              </w:rPr>
              <w:t xml:space="preserve">2. </w:t>
            </w:r>
          </w:p>
        </w:tc>
        <w:tc>
          <w:tcPr>
            <w:tcW w:w="2698" w:type="dxa"/>
            <w:tcBorders>
              <w:top w:val="single" w:sz="4" w:space="0" w:color="999999"/>
              <w:left w:val="single" w:sz="4" w:space="0" w:color="999999"/>
              <w:bottom w:val="single" w:sz="4" w:space="0" w:color="999999"/>
              <w:right w:val="single" w:sz="4" w:space="0" w:color="999999"/>
            </w:tcBorders>
          </w:tcPr>
          <w:p w14:paraId="164EA8AA" w14:textId="77777777" w:rsidR="007D7613" w:rsidRDefault="00B26280">
            <w:pPr>
              <w:spacing w:after="0" w:line="259" w:lineRule="auto"/>
              <w:ind w:left="2" w:firstLine="0"/>
              <w:jc w:val="left"/>
            </w:pPr>
            <w:r>
              <w:t xml:space="preserve">SED </w:t>
            </w:r>
          </w:p>
        </w:tc>
        <w:tc>
          <w:tcPr>
            <w:tcW w:w="2652" w:type="dxa"/>
            <w:tcBorders>
              <w:top w:val="single" w:sz="4" w:space="0" w:color="999999"/>
              <w:left w:val="single" w:sz="4" w:space="0" w:color="999999"/>
              <w:bottom w:val="single" w:sz="4" w:space="0" w:color="999999"/>
              <w:right w:val="single" w:sz="4" w:space="0" w:color="999999"/>
            </w:tcBorders>
          </w:tcPr>
          <w:p w14:paraId="62A945A4" w14:textId="77777777" w:rsidR="007D7613" w:rsidRDefault="00B26280">
            <w:pPr>
              <w:spacing w:after="36" w:line="313" w:lineRule="auto"/>
              <w:ind w:left="86" w:right="61" w:firstLine="0"/>
            </w:pPr>
            <w:r>
              <w:t xml:space="preserve">minimalna gwarantowana przepustowość mierzona na CPE w dół od Węzła dostępowego do CPE </w:t>
            </w:r>
          </w:p>
          <w:p w14:paraId="12E19426" w14:textId="77777777" w:rsidR="007D7613" w:rsidRDefault="00B26280">
            <w:pPr>
              <w:spacing w:after="0" w:line="259" w:lineRule="auto"/>
              <w:ind w:left="86" w:firstLine="0"/>
              <w:jc w:val="left"/>
            </w:pPr>
            <w:r>
              <w:t xml:space="preserve">(download) – 1 Gb/s </w:t>
            </w:r>
          </w:p>
        </w:tc>
        <w:tc>
          <w:tcPr>
            <w:tcW w:w="2919" w:type="dxa"/>
            <w:tcBorders>
              <w:top w:val="single" w:sz="4" w:space="0" w:color="999999"/>
              <w:left w:val="single" w:sz="4" w:space="0" w:color="999999"/>
              <w:bottom w:val="single" w:sz="4" w:space="0" w:color="999999"/>
              <w:right w:val="single" w:sz="4" w:space="0" w:color="999999"/>
            </w:tcBorders>
          </w:tcPr>
          <w:p w14:paraId="72FD3B09" w14:textId="77777777" w:rsidR="007D7613" w:rsidRDefault="00B26280">
            <w:pPr>
              <w:spacing w:after="0" w:line="313" w:lineRule="auto"/>
              <w:ind w:left="120" w:right="59" w:firstLine="0"/>
            </w:pPr>
            <w:r>
              <w:t xml:space="preserve">minimalna gwarantowana przepustowość mierzona na CPE w górę od CPE do </w:t>
            </w:r>
          </w:p>
          <w:p w14:paraId="77CEC22D" w14:textId="77777777" w:rsidR="007D7613" w:rsidRDefault="00B26280">
            <w:pPr>
              <w:spacing w:after="0" w:line="259" w:lineRule="auto"/>
              <w:ind w:left="120" w:firstLine="0"/>
              <w:jc w:val="left"/>
            </w:pPr>
            <w:r>
              <w:t xml:space="preserve">Węzła dostępowego (upload) – 1 Gb/s. </w:t>
            </w:r>
          </w:p>
        </w:tc>
      </w:tr>
    </w:tbl>
    <w:p w14:paraId="51606A02" w14:textId="77777777" w:rsidR="007D7613" w:rsidRDefault="00B26280">
      <w:pPr>
        <w:spacing w:after="85" w:line="259" w:lineRule="auto"/>
        <w:ind w:left="0" w:firstLine="0"/>
        <w:jc w:val="left"/>
      </w:pPr>
      <w:r>
        <w:t xml:space="preserve"> </w:t>
      </w:r>
    </w:p>
    <w:p w14:paraId="7ACFA6B0" w14:textId="77777777" w:rsidR="007D7613" w:rsidRDefault="00B26280">
      <w:pPr>
        <w:numPr>
          <w:ilvl w:val="0"/>
          <w:numId w:val="3"/>
        </w:numPr>
        <w:ind w:hanging="358"/>
      </w:pPr>
      <w:r>
        <w:t xml:space="preserve">OSD zapewnia, że Sieć FERC umożliwi, bez zmian w Infrastrukturze szerokopasmowej (elementach pasywnych infrastruktury), świadczenie usług dostępu do Internetu o następujących parametrach: </w:t>
      </w:r>
    </w:p>
    <w:p w14:paraId="0B3AB796" w14:textId="77777777" w:rsidR="007D7613" w:rsidRDefault="00B26280">
      <w:pPr>
        <w:numPr>
          <w:ilvl w:val="1"/>
          <w:numId w:val="3"/>
        </w:numPr>
        <w:spacing w:after="85" w:line="259" w:lineRule="auto"/>
        <w:ind w:hanging="360"/>
      </w:pPr>
      <w:r>
        <w:t xml:space="preserve">minimalna gwarantowana przepustowość mierzona na CPE w dół od Węzła dostępowego do </w:t>
      </w:r>
    </w:p>
    <w:p w14:paraId="66A19C87" w14:textId="77777777" w:rsidR="007D7613" w:rsidRDefault="00B26280">
      <w:pPr>
        <w:spacing w:after="88" w:line="259" w:lineRule="auto"/>
        <w:ind w:left="708" w:firstLine="0"/>
      </w:pPr>
      <w:r>
        <w:t xml:space="preserve">CPE (download) – 1 Gb/s; </w:t>
      </w:r>
    </w:p>
    <w:p w14:paraId="60FED93B" w14:textId="77777777" w:rsidR="007D7613" w:rsidRDefault="00B26280">
      <w:pPr>
        <w:numPr>
          <w:ilvl w:val="1"/>
          <w:numId w:val="3"/>
        </w:numPr>
        <w:ind w:hanging="360"/>
      </w:pPr>
      <w:r>
        <w:t xml:space="preserve">minimalna gwarantowana przepustowość mierzona na CPE w górę od CPE do Węzła dostępowego (upload) – 200 Mb/s. </w:t>
      </w:r>
    </w:p>
    <w:p w14:paraId="2BE0A5BE" w14:textId="77777777" w:rsidR="007D7613" w:rsidRDefault="00B26280">
      <w:pPr>
        <w:numPr>
          <w:ilvl w:val="0"/>
          <w:numId w:val="3"/>
        </w:numPr>
        <w:spacing w:after="88" w:line="259" w:lineRule="auto"/>
        <w:ind w:hanging="358"/>
      </w:pPr>
      <w:r>
        <w:t xml:space="preserve">OSD oferuje świadczenie Usług o parametrach nie niższych niż: </w:t>
      </w:r>
    </w:p>
    <w:p w14:paraId="644346C8" w14:textId="77777777" w:rsidR="007D7613" w:rsidRDefault="00B26280">
      <w:pPr>
        <w:numPr>
          <w:ilvl w:val="1"/>
          <w:numId w:val="3"/>
        </w:numPr>
        <w:spacing w:after="85" w:line="259" w:lineRule="auto"/>
        <w:ind w:hanging="360"/>
      </w:pPr>
      <w:r>
        <w:t xml:space="preserve">minimalna gwarantowana przepustowość mierzona na CPE w dół od Węzła dostępowego do </w:t>
      </w:r>
    </w:p>
    <w:p w14:paraId="03FF61EB" w14:textId="77777777" w:rsidR="007D7613" w:rsidRDefault="00B26280">
      <w:pPr>
        <w:spacing w:after="88" w:line="259" w:lineRule="auto"/>
        <w:ind w:left="708" w:firstLine="0"/>
      </w:pPr>
      <w:r>
        <w:t xml:space="preserve">CPE (download) – 100 Mb/s; </w:t>
      </w:r>
    </w:p>
    <w:p w14:paraId="775C2020" w14:textId="77777777" w:rsidR="007D7613" w:rsidRDefault="00B26280">
      <w:pPr>
        <w:numPr>
          <w:ilvl w:val="1"/>
          <w:numId w:val="3"/>
        </w:numPr>
        <w:ind w:hanging="360"/>
      </w:pPr>
      <w:r>
        <w:t xml:space="preserve">minimalna gwarantowana przepustowość mierzona na CPE w górę od CPE do Węzła dostępowego (upload) – 20 Mb/s. </w:t>
      </w:r>
    </w:p>
    <w:p w14:paraId="24496ED4" w14:textId="77777777" w:rsidR="007D7613" w:rsidRDefault="00B26280">
      <w:pPr>
        <w:numPr>
          <w:ilvl w:val="0"/>
          <w:numId w:val="3"/>
        </w:numPr>
        <w:ind w:hanging="358"/>
      </w:pPr>
      <w:r>
        <w:t xml:space="preserve">W przypadku, gdy interfejsem Abonenta w CPE jest port Gigabit Ethernet (GbE), warunek zapewnienia minimalnej gwarantowanej przepustowości 1 Gb/s jest spełniony, jeżeli przepustowość mierzona w warstwie IP jest większa niż 930 Mb/s. </w:t>
      </w:r>
    </w:p>
    <w:p w14:paraId="302D7097" w14:textId="77777777" w:rsidR="007D7613" w:rsidRDefault="00B26280">
      <w:pPr>
        <w:numPr>
          <w:ilvl w:val="0"/>
          <w:numId w:val="3"/>
        </w:numPr>
        <w:ind w:hanging="358"/>
      </w:pPr>
      <w:r>
        <w:t xml:space="preserve">OSD zapewnia dla każdego CPE gwarantowane przepustowości w dół do CPE i w górę od CPE przez minimum 95% czasu w roku, gdy usługa jest dostępna (dostępność określa RDU), a w pozostałym czasie, gdy usługa jest dostępna, spadek przepustowości nie może być większy niż do 50% wymaganych gwarantowanych przepustowości. Gwarantowane przepustowości wynikają z ust. 21-24 powyżej i dotyczą relacji pomiędzy: </w:t>
      </w:r>
    </w:p>
    <w:p w14:paraId="5A4525D3" w14:textId="77777777" w:rsidR="007D7613" w:rsidRDefault="00B26280">
      <w:pPr>
        <w:numPr>
          <w:ilvl w:val="1"/>
          <w:numId w:val="3"/>
        </w:numPr>
        <w:spacing w:after="85" w:line="259" w:lineRule="auto"/>
        <w:ind w:hanging="360"/>
      </w:pPr>
      <w:r>
        <w:t xml:space="preserve">interfejsem abonenckim ETH w CPE do IX dla Usług Detalicznych świadczonych przez OSD; </w:t>
      </w:r>
    </w:p>
    <w:p w14:paraId="29C8E8BE" w14:textId="77777777" w:rsidR="007D7613" w:rsidRDefault="00B26280">
      <w:pPr>
        <w:numPr>
          <w:ilvl w:val="1"/>
          <w:numId w:val="3"/>
        </w:numPr>
        <w:spacing w:after="84" w:line="259" w:lineRule="auto"/>
        <w:ind w:hanging="360"/>
      </w:pPr>
      <w:r>
        <w:t xml:space="preserve">interfejsem abonenckim ETH w CPE do PWR OK dla Usług świadczonych przez OSD na rzecz </w:t>
      </w:r>
    </w:p>
    <w:p w14:paraId="1B9599BE" w14:textId="77777777" w:rsidR="007D7613" w:rsidRDefault="00B26280">
      <w:pPr>
        <w:spacing w:after="85" w:line="259" w:lineRule="auto"/>
        <w:ind w:left="708" w:firstLine="0"/>
      </w:pPr>
      <w:r>
        <w:t xml:space="preserve">OK; </w:t>
      </w:r>
    </w:p>
    <w:p w14:paraId="5537C3E5" w14:textId="77777777" w:rsidR="007D7613" w:rsidRDefault="00B26280">
      <w:pPr>
        <w:numPr>
          <w:ilvl w:val="1"/>
          <w:numId w:val="3"/>
        </w:numPr>
        <w:ind w:hanging="360"/>
      </w:pPr>
      <w:r>
        <w:t xml:space="preserve">interfejsem abonenckim ETH w CPE do IX OK dla Usług Detalicznych świadczonych przez OK w oparciu o Usługi OSD. </w:t>
      </w:r>
    </w:p>
    <w:p w14:paraId="57631908" w14:textId="77777777" w:rsidR="007D7613" w:rsidRDefault="00B26280">
      <w:pPr>
        <w:numPr>
          <w:ilvl w:val="0"/>
          <w:numId w:val="3"/>
        </w:numPr>
        <w:spacing w:after="53" w:line="259" w:lineRule="auto"/>
        <w:ind w:hanging="358"/>
      </w:pPr>
      <w:r>
        <w:t xml:space="preserve">Prędkość Usługi Detalicznej nie musi być zgodna z opcją prędkości dla Usługi. </w:t>
      </w:r>
    </w:p>
    <w:p w14:paraId="0FC436E1" w14:textId="77777777" w:rsidR="007D7613" w:rsidRDefault="00B26280">
      <w:pPr>
        <w:spacing w:after="88" w:line="259" w:lineRule="auto"/>
        <w:ind w:left="0" w:firstLine="0"/>
        <w:jc w:val="left"/>
      </w:pPr>
      <w:r>
        <w:t xml:space="preserve"> </w:t>
      </w:r>
    </w:p>
    <w:p w14:paraId="757A0996" w14:textId="77777777" w:rsidR="007D7613" w:rsidRDefault="00B26280">
      <w:pPr>
        <w:pStyle w:val="Nagwek1"/>
        <w:ind w:left="10" w:right="10"/>
      </w:pPr>
      <w:r>
        <w:t xml:space="preserve">§ 4 Uruchomienie, modyfikacja oraz dezaktywacja Usługi </w:t>
      </w:r>
    </w:p>
    <w:p w14:paraId="65CEB401" w14:textId="77777777" w:rsidR="007D7613" w:rsidRDefault="00B26280">
      <w:pPr>
        <w:numPr>
          <w:ilvl w:val="0"/>
          <w:numId w:val="4"/>
        </w:numPr>
        <w:ind w:hanging="358"/>
      </w:pPr>
      <w:r>
        <w:t xml:space="preserve">OK składa Zamówienie na uruchomienie lub modyfikację Usługi przez SK, wskazując między innymi adres świadczenia Usługi oraz istotne parametry Usługi. </w:t>
      </w:r>
    </w:p>
    <w:p w14:paraId="45DC7596" w14:textId="77777777" w:rsidR="007D7613" w:rsidRDefault="00B26280">
      <w:pPr>
        <w:numPr>
          <w:ilvl w:val="0"/>
          <w:numId w:val="4"/>
        </w:numPr>
        <w:ind w:hanging="358"/>
      </w:pPr>
      <w:r>
        <w:t xml:space="preserve">OSD przesyła do OK, odpowiedź na złożone Zamówienie na uruchomienie lub modyfikację Usługi, w terminie 1 (jednego) DR. </w:t>
      </w:r>
    </w:p>
    <w:p w14:paraId="3597D28F" w14:textId="77777777" w:rsidR="007D7613" w:rsidRDefault="00B26280">
      <w:pPr>
        <w:numPr>
          <w:ilvl w:val="0"/>
          <w:numId w:val="4"/>
        </w:numPr>
        <w:ind w:hanging="358"/>
      </w:pPr>
      <w:r>
        <w:t xml:space="preserve">Za modyfikację Usługi uznaje się w szczególności zmianę okresu świadczenia Usługi, adres świadczenia Usługi lub zmianę parametrów Usługi. Do modyfikacji Usługi,  stosuje się odpowiednio postanowienia Umowy Ramowej w zakresie składania Zamówień. </w:t>
      </w:r>
    </w:p>
    <w:p w14:paraId="1C759457" w14:textId="77777777" w:rsidR="007D7613" w:rsidRDefault="00B26280">
      <w:pPr>
        <w:numPr>
          <w:ilvl w:val="0"/>
          <w:numId w:val="4"/>
        </w:numPr>
        <w:ind w:hanging="358"/>
      </w:pPr>
      <w:r>
        <w:t xml:space="preserve">Modyfikacja Usługi odbywa się poprzez modyfikację Zamówienia, które Usługa dotyczy. Powyższa modyfikacja nie wymaga aneksowania niniejszej Umowy.  </w:t>
      </w:r>
    </w:p>
    <w:p w14:paraId="65C87FA8" w14:textId="77777777" w:rsidR="007D7613" w:rsidRDefault="00B26280">
      <w:pPr>
        <w:numPr>
          <w:ilvl w:val="0"/>
          <w:numId w:val="4"/>
        </w:numPr>
        <w:ind w:hanging="358"/>
      </w:pPr>
      <w:r>
        <w:t xml:space="preserve">Rezygnacja z Usługi w całości, wymaga złożenia wypowiedzenia Umowy, zgodnie z warunkami określonymi w Umowie Ramowej. </w:t>
      </w:r>
    </w:p>
    <w:p w14:paraId="57D636C2" w14:textId="77777777" w:rsidR="007D7613" w:rsidRDefault="00B26280">
      <w:pPr>
        <w:numPr>
          <w:ilvl w:val="0"/>
          <w:numId w:val="4"/>
        </w:numPr>
        <w:ind w:hanging="358"/>
      </w:pPr>
      <w:r>
        <w:t xml:space="preserve">Rezygnacja z Usługi w części dotyczącej jednego lub kilku adresów świadczenia Usługi, wymaga wypowiedzenia Zamówienia, którego Usługa dotyczy. Wypowiedzenie Zamówienia nie jest równoznaczne z wypowiedzeniem Umowy. </w:t>
      </w:r>
    </w:p>
    <w:p w14:paraId="4FFF8B70" w14:textId="77777777" w:rsidR="007D7613" w:rsidRDefault="00B26280">
      <w:pPr>
        <w:numPr>
          <w:ilvl w:val="0"/>
          <w:numId w:val="4"/>
        </w:numPr>
        <w:ind w:hanging="358"/>
      </w:pPr>
      <w:r>
        <w:t xml:space="preserve">Procedurę Zmiany Dostawcy, w przypadku gdy Abonent korzysta z prawa do zachowania ciągłości świadczenia usług dostępu do Internetu określa Umowa Ramowa. Wzór Zamówienia w związku ze stosowaniem procedury Zmiany Dostawcy stanowi Załącznik nr 2 do niniejszej Umowy, z tym zastrzeżeniem, że w Zamówieniu na Usługę, Biorca – OK powinien określić, że Zamówienie dotyczy Zmiany Dostawcy.  </w:t>
      </w:r>
    </w:p>
    <w:p w14:paraId="19953529" w14:textId="77777777" w:rsidR="007D7613" w:rsidRDefault="00B26280">
      <w:pPr>
        <w:spacing w:after="86" w:line="259" w:lineRule="auto"/>
        <w:ind w:left="54" w:firstLine="0"/>
        <w:jc w:val="center"/>
      </w:pPr>
      <w:r>
        <w:rPr>
          <w:b/>
        </w:rPr>
        <w:t xml:space="preserve"> </w:t>
      </w:r>
    </w:p>
    <w:p w14:paraId="0C2527D6" w14:textId="77777777" w:rsidR="007D7613" w:rsidRDefault="00B26280">
      <w:pPr>
        <w:pStyle w:val="Nagwek1"/>
        <w:spacing w:after="84"/>
        <w:ind w:left="10" w:right="7"/>
      </w:pPr>
      <w:r>
        <w:t xml:space="preserve">§ 5 Prognozy </w:t>
      </w:r>
    </w:p>
    <w:p w14:paraId="0875EA3A" w14:textId="77777777" w:rsidR="007D7613" w:rsidRDefault="00B26280">
      <w:pPr>
        <w:numPr>
          <w:ilvl w:val="0"/>
          <w:numId w:val="5"/>
        </w:numPr>
        <w:spacing w:after="87" w:line="259" w:lineRule="auto"/>
        <w:ind w:hanging="358"/>
      </w:pPr>
      <w:r>
        <w:t xml:space="preserve">OK raz na Kwartał przesyła do OSD za pośrednictwem SK Prognozę, określającą: </w:t>
      </w:r>
    </w:p>
    <w:p w14:paraId="2EA7705D" w14:textId="77777777" w:rsidR="007D7613" w:rsidRDefault="00B26280">
      <w:pPr>
        <w:numPr>
          <w:ilvl w:val="1"/>
          <w:numId w:val="5"/>
        </w:numPr>
        <w:ind w:hanging="360"/>
      </w:pPr>
      <w:r>
        <w:t xml:space="preserve">przewidywaną liczbę Lokalnych pętli abonenckich oraz wskazanie PDU, na którym Usługa będzie świadczona; </w:t>
      </w:r>
    </w:p>
    <w:p w14:paraId="688E6996" w14:textId="77777777" w:rsidR="007D7613" w:rsidRDefault="00B26280">
      <w:pPr>
        <w:numPr>
          <w:ilvl w:val="1"/>
          <w:numId w:val="5"/>
        </w:numPr>
        <w:ind w:hanging="360"/>
      </w:pPr>
      <w:r>
        <w:t xml:space="preserve">przewidywaną liczbę oraz typy interfejsów w poszczególnych PDU, z których zamierza korzystać dla potrzeb świadczenia Usług Detalicznych. </w:t>
      </w:r>
    </w:p>
    <w:p w14:paraId="3A759C79" w14:textId="77777777" w:rsidR="007D7613" w:rsidRDefault="00B26280">
      <w:pPr>
        <w:numPr>
          <w:ilvl w:val="0"/>
          <w:numId w:val="5"/>
        </w:numPr>
        <w:ind w:hanging="358"/>
      </w:pPr>
      <w:r>
        <w:t xml:space="preserve">W ramach Prognozy Zamówień na Usługę podawane są ilości i rodzaj interfejsów fizycznych dla poszczególnych PDU. Górne i dolne limity na prognozowany okres jednego Kwartału wynoszą +/- 20%. OK jest zobowiązany do przestrzegania górnych i dolnych limitów określonych powyżej. </w:t>
      </w:r>
    </w:p>
    <w:p w14:paraId="4D00A6E5" w14:textId="77777777" w:rsidR="007D7613" w:rsidRDefault="00B26280">
      <w:pPr>
        <w:numPr>
          <w:ilvl w:val="0"/>
          <w:numId w:val="5"/>
        </w:numPr>
        <w:ind w:hanging="358"/>
      </w:pPr>
      <w:r>
        <w:t xml:space="preserve">W przypadku przekroczenia górnego limitu odchyleń, wskazanego w ust. 2 powyżej, OSD dołoży starań, aby dostarczyć Usługę, z zastrzeżeniem, że w wypadku Zamówień przekraczających górny limit odchyleń, OSD nie gwarantuje terminowości ich realizowania, a OK nie nalicza OSD kary umownej za nieterminowe realizowanie Zamówień.  </w:t>
      </w:r>
    </w:p>
    <w:p w14:paraId="2D0F9056" w14:textId="77777777" w:rsidR="007D7613" w:rsidRDefault="00B26280">
      <w:pPr>
        <w:numPr>
          <w:ilvl w:val="0"/>
          <w:numId w:val="5"/>
        </w:numPr>
        <w:ind w:hanging="358"/>
      </w:pPr>
      <w:r>
        <w:t xml:space="preserve">OK przesyła do OSD Prognozę nie później niż 1 (jeden) miesiąc przed rozpoczęciem Kwartału, którego dotyczą, przy czym pierwszą Prognozę OK prześle w dniu zawarcia Umowy. </w:t>
      </w:r>
    </w:p>
    <w:p w14:paraId="4920F15C" w14:textId="77777777" w:rsidR="007D7613" w:rsidRDefault="00B26280">
      <w:pPr>
        <w:numPr>
          <w:ilvl w:val="0"/>
          <w:numId w:val="5"/>
        </w:numPr>
        <w:spacing w:after="86" w:line="259" w:lineRule="auto"/>
        <w:ind w:hanging="358"/>
      </w:pPr>
      <w:r>
        <w:t xml:space="preserve">Przez datę rozpoczęcia i zakończenia poszczególnych Kwartałów rozumie się: </w:t>
      </w:r>
    </w:p>
    <w:p w14:paraId="0FD82028" w14:textId="77777777" w:rsidR="007D7613" w:rsidRDefault="00B26280">
      <w:pPr>
        <w:numPr>
          <w:ilvl w:val="1"/>
          <w:numId w:val="5"/>
        </w:numPr>
        <w:spacing w:after="86" w:line="259" w:lineRule="auto"/>
        <w:ind w:hanging="360"/>
      </w:pPr>
      <w:r>
        <w:t xml:space="preserve">kwartał I: 1 stycznia (pierwszy dzień kwartału) – </w:t>
      </w:r>
      <w:r>
        <w:t xml:space="preserve">31 marca (ostatni dzień kwartału); </w:t>
      </w:r>
    </w:p>
    <w:p w14:paraId="715647D0" w14:textId="77777777" w:rsidR="007D7613" w:rsidRDefault="00B26280">
      <w:pPr>
        <w:numPr>
          <w:ilvl w:val="1"/>
          <w:numId w:val="5"/>
        </w:numPr>
        <w:spacing w:after="84" w:line="259" w:lineRule="auto"/>
        <w:ind w:hanging="360"/>
      </w:pPr>
      <w:r>
        <w:t xml:space="preserve">kwartał II: 1 kwietnia (pierwszy dzień kwartału) – 30 czerwca (ostatni dzień kwartału); </w:t>
      </w:r>
    </w:p>
    <w:p w14:paraId="160DF9FD" w14:textId="77777777" w:rsidR="007D7613" w:rsidRDefault="00B26280">
      <w:pPr>
        <w:numPr>
          <w:ilvl w:val="1"/>
          <w:numId w:val="5"/>
        </w:numPr>
        <w:spacing w:after="87" w:line="259" w:lineRule="auto"/>
        <w:ind w:hanging="360"/>
      </w:pPr>
      <w:r>
        <w:t xml:space="preserve">kwartał III: 1 lipca (pierwszy dzień kwartału) – 30 września (ostatni dzień kwartału); </w:t>
      </w:r>
    </w:p>
    <w:p w14:paraId="313C2977" w14:textId="77777777" w:rsidR="007D7613" w:rsidRDefault="00B26280">
      <w:pPr>
        <w:numPr>
          <w:ilvl w:val="1"/>
          <w:numId w:val="5"/>
        </w:numPr>
        <w:spacing w:after="85" w:line="259" w:lineRule="auto"/>
        <w:ind w:hanging="360"/>
      </w:pPr>
      <w:r>
        <w:t xml:space="preserve">kwartał IV: 1 października (pierwszy dzień kwartału) – 31 grudnia (ostatni dzień kwartału). </w:t>
      </w:r>
    </w:p>
    <w:p w14:paraId="6C0F89CD" w14:textId="77777777" w:rsidR="007D7613" w:rsidRDefault="00B26280">
      <w:pPr>
        <w:numPr>
          <w:ilvl w:val="0"/>
          <w:numId w:val="5"/>
        </w:numPr>
        <w:ind w:hanging="358"/>
      </w:pPr>
      <w:r>
        <w:t xml:space="preserve">Jeżeli OSD wykaże, że występujące w danym Kwartale, którego dotyczy Prognoza, Awarie w świadczeniu Usługi spowodowane są błędnymi Prognozami dostarczonymi OSD przez OK, OSD nie ponosi z tego tytułu odpowiedzialności i nie jest zobowiązany do wypłaty kar umownych lub bonifikat, określonych w Umowie lub w Umowie Ramowej.  </w:t>
      </w:r>
    </w:p>
    <w:p w14:paraId="2B2679EE" w14:textId="77777777" w:rsidR="007D7613" w:rsidRDefault="00B26280">
      <w:pPr>
        <w:numPr>
          <w:ilvl w:val="0"/>
          <w:numId w:val="5"/>
        </w:numPr>
        <w:ind w:hanging="358"/>
      </w:pPr>
      <w:r>
        <w:t xml:space="preserve">Liczba Zamówień prognozowanych na dany Kwartał będzie porównywana z rzeczywistymi Zamówieniami złożonymi w tym Kwartale.  </w:t>
      </w:r>
    </w:p>
    <w:p w14:paraId="7E206E0F" w14:textId="77777777" w:rsidR="007D7613" w:rsidRDefault="00B26280">
      <w:pPr>
        <w:numPr>
          <w:ilvl w:val="0"/>
          <w:numId w:val="5"/>
        </w:numPr>
        <w:ind w:hanging="358"/>
      </w:pPr>
      <w:r>
        <w:t xml:space="preserve">Dla zapewnienia dokładności składanych Prognoz i uniknięcia rozbudowywania zbędnej pojemności w Sieci FERC, na OK zostanie nałożona opłata: </w:t>
      </w:r>
    </w:p>
    <w:p w14:paraId="3D2B240B" w14:textId="77777777" w:rsidR="007D7613" w:rsidRDefault="00B26280">
      <w:pPr>
        <w:spacing w:after="61" w:line="259" w:lineRule="auto"/>
        <w:ind w:left="0" w:firstLine="0"/>
        <w:jc w:val="left"/>
      </w:pPr>
      <w:r>
        <w:t xml:space="preserve"> </w:t>
      </w:r>
    </w:p>
    <w:p w14:paraId="3B1297BB" w14:textId="77777777" w:rsidR="007D7613" w:rsidRDefault="00B26280">
      <w:pPr>
        <w:spacing w:after="53" w:line="259" w:lineRule="auto"/>
        <w:ind w:left="-15" w:firstLine="0"/>
      </w:pPr>
      <w:r>
        <w:rPr>
          <w:b/>
        </w:rPr>
        <w:t xml:space="preserve">Opłata </w:t>
      </w:r>
      <w:r>
        <w:t xml:space="preserve">= ((1 + </w:t>
      </w:r>
      <w:proofErr w:type="spellStart"/>
      <w:r>
        <w:t>δmax</w:t>
      </w:r>
      <w:proofErr w:type="spellEnd"/>
      <w:r>
        <w:t xml:space="preserve">) x P – Z) x S </w:t>
      </w:r>
    </w:p>
    <w:p w14:paraId="5353C3B0" w14:textId="77777777" w:rsidR="007D7613" w:rsidRDefault="00B26280">
      <w:pPr>
        <w:spacing w:after="50" w:line="259" w:lineRule="auto"/>
        <w:ind w:left="0" w:firstLine="0"/>
        <w:jc w:val="left"/>
      </w:pPr>
      <w:r>
        <w:t xml:space="preserve"> </w:t>
      </w:r>
    </w:p>
    <w:p w14:paraId="4F872036" w14:textId="77777777" w:rsidR="007D7613" w:rsidRDefault="00B26280">
      <w:pPr>
        <w:spacing w:after="89" w:line="259" w:lineRule="auto"/>
        <w:ind w:left="-5" w:hanging="10"/>
        <w:jc w:val="left"/>
      </w:pPr>
      <w:r>
        <w:rPr>
          <w:b/>
        </w:rPr>
        <w:t xml:space="preserve">z czego: </w:t>
      </w:r>
    </w:p>
    <w:p w14:paraId="0DEB9954" w14:textId="77777777" w:rsidR="007D7613" w:rsidRDefault="00B26280">
      <w:pPr>
        <w:spacing w:after="87" w:line="259" w:lineRule="auto"/>
        <w:ind w:left="-5" w:hanging="10"/>
      </w:pPr>
      <w:proofErr w:type="spellStart"/>
      <w:r>
        <w:rPr>
          <w:b/>
        </w:rPr>
        <w:t>δmax</w:t>
      </w:r>
      <w:proofErr w:type="spellEnd"/>
      <w:r>
        <w:t xml:space="preserve"> – </w:t>
      </w:r>
      <w:r>
        <w:rPr>
          <w:i/>
        </w:rPr>
        <w:t>dolny limit odchyleń, o których mowa w ust. 2 powyżej</w:t>
      </w:r>
      <w:r>
        <w:t xml:space="preserve"> </w:t>
      </w:r>
    </w:p>
    <w:p w14:paraId="2265D999" w14:textId="77777777" w:rsidR="007D7613" w:rsidRDefault="00B26280">
      <w:pPr>
        <w:spacing w:after="87" w:line="259" w:lineRule="auto"/>
        <w:ind w:left="-5" w:hanging="10"/>
      </w:pPr>
      <w:r>
        <w:rPr>
          <w:b/>
        </w:rPr>
        <w:t>P</w:t>
      </w:r>
      <w:r>
        <w:t xml:space="preserve"> – </w:t>
      </w:r>
      <w:r>
        <w:rPr>
          <w:i/>
        </w:rPr>
        <w:t>liczba Zamówień na Prognozie na dany okres</w:t>
      </w:r>
      <w:r>
        <w:t xml:space="preserve"> </w:t>
      </w:r>
    </w:p>
    <w:p w14:paraId="38599142" w14:textId="77777777" w:rsidR="007D7613" w:rsidRDefault="00B26280">
      <w:pPr>
        <w:spacing w:after="87" w:line="259" w:lineRule="auto"/>
        <w:ind w:left="-5" w:hanging="10"/>
      </w:pPr>
      <w:r>
        <w:rPr>
          <w:b/>
        </w:rPr>
        <w:t>Z</w:t>
      </w:r>
      <w:r>
        <w:t xml:space="preserve"> – </w:t>
      </w:r>
      <w:r>
        <w:rPr>
          <w:i/>
        </w:rPr>
        <w:t>liczba zamówionych Usług na dany okres</w:t>
      </w:r>
      <w:r>
        <w:t xml:space="preserve"> </w:t>
      </w:r>
    </w:p>
    <w:p w14:paraId="5F26602D" w14:textId="77777777" w:rsidR="007D7613" w:rsidRDefault="00B26280">
      <w:pPr>
        <w:spacing w:after="50" w:line="259" w:lineRule="auto"/>
        <w:ind w:left="-5" w:hanging="10"/>
      </w:pPr>
      <w:r>
        <w:rPr>
          <w:b/>
        </w:rPr>
        <w:t>S</w:t>
      </w:r>
      <w:r>
        <w:t xml:space="preserve"> – </w:t>
      </w:r>
      <w:r>
        <w:rPr>
          <w:i/>
        </w:rPr>
        <w:t>jednorazowa opłata za uruchomienie odpowiednia dla prognozowanej Usługi.</w:t>
      </w:r>
      <w:r>
        <w:t xml:space="preserve">  </w:t>
      </w:r>
    </w:p>
    <w:p w14:paraId="5E4477F6" w14:textId="77777777" w:rsidR="007D7613" w:rsidRDefault="00B26280">
      <w:pPr>
        <w:spacing w:after="87" w:line="259" w:lineRule="auto"/>
        <w:ind w:left="0" w:firstLine="0"/>
        <w:jc w:val="left"/>
      </w:pPr>
      <w:r>
        <w:t xml:space="preserve"> </w:t>
      </w:r>
    </w:p>
    <w:p w14:paraId="03BAFB80" w14:textId="77777777" w:rsidR="007D7613" w:rsidRDefault="00B26280">
      <w:pPr>
        <w:ind w:left="353"/>
      </w:pPr>
      <w:r>
        <w:t xml:space="preserve">9. Wielkość prognozowana na dany Kwartał dla PDU, które w danym Kwartale zostały ujęte w Prognozie Rozbudowy Zasięgu jest korygowana przez OSD o stosunek faktycznej liczby oddanych </w:t>
      </w:r>
    </w:p>
    <w:p w14:paraId="374F1CE4" w14:textId="77777777" w:rsidR="007D7613" w:rsidRDefault="00B26280">
      <w:pPr>
        <w:ind w:left="358" w:firstLine="0"/>
      </w:pPr>
      <w:r>
        <w:t xml:space="preserve">PA do liczby PA wskazanych w Prognozie Rozbudowy Zasięgu. Dla tych PDU liczba Zamówień w Prognozie na dany okres jest liczona zgodnie ze wzorem, a następnie zaokrąglona do liczby całkowitej: </w:t>
      </w:r>
    </w:p>
    <w:p w14:paraId="711423ED" w14:textId="77777777" w:rsidR="007D7613" w:rsidRDefault="00B26280">
      <w:pPr>
        <w:spacing w:after="95" w:line="259" w:lineRule="auto"/>
        <w:ind w:left="0" w:firstLine="0"/>
        <w:jc w:val="left"/>
      </w:pPr>
      <w:r>
        <w:t xml:space="preserve"> </w:t>
      </w:r>
    </w:p>
    <w:p w14:paraId="2CB337C8" w14:textId="77777777" w:rsidR="007D7613" w:rsidRDefault="00B26280">
      <w:pPr>
        <w:spacing w:after="52" w:line="259" w:lineRule="auto"/>
        <w:ind w:left="0" w:firstLine="0"/>
        <w:jc w:val="left"/>
      </w:pPr>
      <w:r>
        <w:t xml:space="preserve">P = P </w:t>
      </w:r>
      <w:r>
        <w:rPr>
          <w:sz w:val="13"/>
        </w:rPr>
        <w:t>złożona</w:t>
      </w:r>
      <w:r>
        <w:t xml:space="preserve"> x (1 + (L</w:t>
      </w:r>
      <w:r>
        <w:rPr>
          <w:sz w:val="13"/>
        </w:rPr>
        <w:t>PA uruchomione</w:t>
      </w:r>
      <w:r>
        <w:t>- L</w:t>
      </w:r>
      <w:r>
        <w:rPr>
          <w:sz w:val="13"/>
        </w:rPr>
        <w:t>PA plan</w:t>
      </w:r>
      <w:r>
        <w:t>)/(L</w:t>
      </w:r>
      <w:r>
        <w:rPr>
          <w:sz w:val="13"/>
        </w:rPr>
        <w:t xml:space="preserve">PA istniejące </w:t>
      </w:r>
      <w:r>
        <w:t>+ L</w:t>
      </w:r>
      <w:r>
        <w:rPr>
          <w:sz w:val="13"/>
        </w:rPr>
        <w:t>PA Plan</w:t>
      </w:r>
      <w:r>
        <w:t xml:space="preserve">)), gdzie </w:t>
      </w:r>
    </w:p>
    <w:p w14:paraId="726FB0B8" w14:textId="77777777" w:rsidR="007D7613" w:rsidRDefault="00B26280">
      <w:pPr>
        <w:spacing w:after="50" w:line="259" w:lineRule="auto"/>
        <w:ind w:left="0" w:firstLine="0"/>
        <w:jc w:val="left"/>
      </w:pPr>
      <w:r>
        <w:t xml:space="preserve"> </w:t>
      </w:r>
    </w:p>
    <w:p w14:paraId="41DB8478" w14:textId="77777777" w:rsidR="007D7613" w:rsidRDefault="00B26280">
      <w:pPr>
        <w:spacing w:after="89" w:line="259" w:lineRule="auto"/>
        <w:ind w:left="-5" w:hanging="10"/>
        <w:jc w:val="left"/>
      </w:pPr>
      <w:r>
        <w:rPr>
          <w:b/>
        </w:rPr>
        <w:t xml:space="preserve">z czego: </w:t>
      </w:r>
    </w:p>
    <w:p w14:paraId="1D75D2BA" w14:textId="77777777" w:rsidR="007D7613" w:rsidRDefault="00B26280">
      <w:pPr>
        <w:spacing w:after="87" w:line="259" w:lineRule="auto"/>
        <w:ind w:left="343" w:hanging="358"/>
      </w:pPr>
      <w:r>
        <w:rPr>
          <w:b/>
        </w:rPr>
        <w:t xml:space="preserve">P </w:t>
      </w:r>
      <w:r>
        <w:rPr>
          <w:b/>
          <w:vertAlign w:val="subscript"/>
        </w:rPr>
        <w:t>złożona</w:t>
      </w:r>
      <w:r>
        <w:t xml:space="preserve"> – </w:t>
      </w:r>
      <w:r>
        <w:rPr>
          <w:i/>
        </w:rPr>
        <w:t>liczba prognozowanych Zamówień na dany Kwartał, która została złożona przez OK w Prognozie</w:t>
      </w:r>
      <w:r>
        <w:t xml:space="preserve"> </w:t>
      </w:r>
    </w:p>
    <w:p w14:paraId="4C21E8F6" w14:textId="77777777" w:rsidR="007D7613" w:rsidRDefault="00B26280">
      <w:pPr>
        <w:spacing w:after="87" w:line="259" w:lineRule="auto"/>
        <w:ind w:left="-5" w:hanging="10"/>
      </w:pPr>
      <w:r>
        <w:rPr>
          <w:b/>
        </w:rPr>
        <w:t>L</w:t>
      </w:r>
      <w:r>
        <w:rPr>
          <w:b/>
          <w:vertAlign w:val="subscript"/>
        </w:rPr>
        <w:t>PA uruchomione</w:t>
      </w:r>
      <w:r>
        <w:rPr>
          <w:sz w:val="13"/>
        </w:rPr>
        <w:t xml:space="preserve"> </w:t>
      </w:r>
      <w:r>
        <w:t xml:space="preserve">– </w:t>
      </w:r>
      <w:r>
        <w:rPr>
          <w:i/>
        </w:rPr>
        <w:t>liczba PA, dla których uruchomione zostało świadczenie Usług w danym Kwartale</w:t>
      </w:r>
      <w:r>
        <w:t xml:space="preserve">      </w:t>
      </w:r>
    </w:p>
    <w:p w14:paraId="4BF2F278" w14:textId="77777777" w:rsidR="007D7613" w:rsidRDefault="00B26280">
      <w:pPr>
        <w:spacing w:after="87" w:line="259" w:lineRule="auto"/>
        <w:ind w:left="343" w:hanging="358"/>
      </w:pPr>
      <w:r>
        <w:rPr>
          <w:b/>
        </w:rPr>
        <w:t>L</w:t>
      </w:r>
      <w:r>
        <w:rPr>
          <w:b/>
          <w:vertAlign w:val="subscript"/>
        </w:rPr>
        <w:t>PA plan</w:t>
      </w:r>
      <w:r>
        <w:rPr>
          <w:sz w:val="13"/>
        </w:rPr>
        <w:t xml:space="preserve"> </w:t>
      </w:r>
      <w:r>
        <w:t xml:space="preserve">– </w:t>
      </w:r>
      <w:r>
        <w:rPr>
          <w:i/>
        </w:rPr>
        <w:t>liczba PA, dla których OSD planował uruchomić świadczenie Usług w danym Kwartale zgodnie z Prognozą Rozbudowy Zasięgu na ten Kwartał (jeżeli LPA plan &gt; LPA uruchomione to LPA plan = LPA uruchomione)</w:t>
      </w:r>
      <w:r>
        <w:t xml:space="preserve"> </w:t>
      </w:r>
    </w:p>
    <w:p w14:paraId="424CBBE9" w14:textId="77777777" w:rsidR="007D7613" w:rsidRDefault="00B26280">
      <w:pPr>
        <w:spacing w:after="45" w:line="259" w:lineRule="auto"/>
        <w:ind w:left="343" w:hanging="358"/>
      </w:pPr>
      <w:r>
        <w:rPr>
          <w:b/>
        </w:rPr>
        <w:t>L</w:t>
      </w:r>
      <w:r>
        <w:rPr>
          <w:b/>
          <w:vertAlign w:val="subscript"/>
        </w:rPr>
        <w:t>PA istniejące</w:t>
      </w:r>
      <w:r>
        <w:rPr>
          <w:sz w:val="13"/>
        </w:rPr>
        <w:t xml:space="preserve"> </w:t>
      </w:r>
      <w:r>
        <w:t xml:space="preserve">– </w:t>
      </w:r>
      <w:r>
        <w:rPr>
          <w:i/>
        </w:rPr>
        <w:t>liczba PA, które zostały uruchomione w okresie wcześniejszym, którego nie dotyczy Prognoza.</w:t>
      </w:r>
      <w:r>
        <w:t xml:space="preserve"> </w:t>
      </w:r>
    </w:p>
    <w:p w14:paraId="14D1BD14" w14:textId="77777777" w:rsidR="007D7613" w:rsidRDefault="00B26280">
      <w:pPr>
        <w:spacing w:after="87" w:line="259" w:lineRule="auto"/>
        <w:ind w:left="0" w:firstLine="0"/>
        <w:jc w:val="left"/>
      </w:pPr>
      <w:r>
        <w:t xml:space="preserve"> </w:t>
      </w:r>
    </w:p>
    <w:p w14:paraId="4D4F5D2A" w14:textId="77777777" w:rsidR="007D7613" w:rsidRDefault="00B26280">
      <w:pPr>
        <w:ind w:left="353"/>
      </w:pPr>
      <w:r>
        <w:t xml:space="preserve">10. OK może aktualizować swoją Prognozę, a aktualizacja swojej Prognozy może odbywać się z wykorzystaniem wzoru przedstawionego w ust. 9 powyżej. W przypadku aktualizacji Prognozy przez OK, ma ona nastąpić w terminie 10 (dziesięciu) DR od dnia publikacji zaktualizowanej Prognozy </w:t>
      </w:r>
    </w:p>
    <w:p w14:paraId="78B5F73C" w14:textId="77777777" w:rsidR="007D7613" w:rsidRDefault="00B26280">
      <w:pPr>
        <w:spacing w:after="50" w:line="259" w:lineRule="auto"/>
        <w:ind w:left="358" w:firstLine="0"/>
      </w:pPr>
      <w:r>
        <w:t xml:space="preserve">Rozbudowy Zasięgu przez OSD.  </w:t>
      </w:r>
    </w:p>
    <w:p w14:paraId="77DAB6F9" w14:textId="77777777" w:rsidR="007D7613" w:rsidRDefault="00B26280">
      <w:pPr>
        <w:spacing w:after="87" w:line="259" w:lineRule="auto"/>
        <w:ind w:left="0" w:firstLine="0"/>
        <w:jc w:val="left"/>
      </w:pPr>
      <w:r>
        <w:rPr>
          <w:b/>
        </w:rPr>
        <w:t xml:space="preserve"> </w:t>
      </w:r>
    </w:p>
    <w:p w14:paraId="1CAA6A2B" w14:textId="77777777" w:rsidR="007D7613" w:rsidRDefault="00B26280">
      <w:pPr>
        <w:pStyle w:val="Nagwek1"/>
        <w:spacing w:after="67"/>
        <w:ind w:left="10" w:right="3"/>
      </w:pPr>
      <w:r>
        <w:t xml:space="preserve">§ 6 Postanowienia końcowe </w:t>
      </w:r>
    </w:p>
    <w:p w14:paraId="50B7A2E6" w14:textId="77777777" w:rsidR="007D7613" w:rsidRDefault="00B26280">
      <w:pPr>
        <w:numPr>
          <w:ilvl w:val="0"/>
          <w:numId w:val="6"/>
        </w:numPr>
        <w:spacing w:after="86" w:line="259" w:lineRule="auto"/>
        <w:ind w:hanging="358"/>
      </w:pPr>
      <w:r>
        <w:t xml:space="preserve">Umowę sporządzono w dwóch jednobrzmiących </w:t>
      </w:r>
      <w:r>
        <w:t xml:space="preserve">egzemplarzach po jednym dla OK i dla </w:t>
      </w:r>
    </w:p>
    <w:p w14:paraId="2FF142FF" w14:textId="77777777" w:rsidR="007D7613" w:rsidRDefault="00B26280">
      <w:pPr>
        <w:ind w:left="358" w:firstLine="0"/>
      </w:pPr>
      <w:r>
        <w:t xml:space="preserve">OSD/Umowę sporządzono w formie elektronicznej opatrzonej przez każdą ze Stron kwalifikowanym podpisem elektronicznym. </w:t>
      </w:r>
      <w:r>
        <w:rPr>
          <w:b/>
        </w:rPr>
        <w:t xml:space="preserve"> </w:t>
      </w:r>
    </w:p>
    <w:p w14:paraId="55A40AA0" w14:textId="77777777" w:rsidR="007D7613" w:rsidRDefault="00B26280">
      <w:pPr>
        <w:numPr>
          <w:ilvl w:val="0"/>
          <w:numId w:val="6"/>
        </w:numPr>
        <w:spacing w:after="53" w:line="259" w:lineRule="auto"/>
        <w:ind w:hanging="358"/>
      </w:pPr>
      <w:r>
        <w:t xml:space="preserve">Umowa wchodzi w życie z dniem podpisania. </w:t>
      </w:r>
      <w:r>
        <w:rPr>
          <w:b/>
        </w:rPr>
        <w:t xml:space="preserve"> </w:t>
      </w:r>
    </w:p>
    <w:p w14:paraId="11387BBD" w14:textId="77777777" w:rsidR="007D7613" w:rsidRDefault="00B26280">
      <w:pPr>
        <w:numPr>
          <w:ilvl w:val="0"/>
          <w:numId w:val="6"/>
        </w:numPr>
        <w:ind w:hanging="358"/>
      </w:pPr>
      <w:r>
        <w:t>Zmiana Umowy wymaga formy pisemnej lub formy elektronicznej z kwalifikowanym podpisem elektronicznym, pod rygorem nieważności.</w:t>
      </w:r>
      <w:r>
        <w:rPr>
          <w:b/>
        </w:rPr>
        <w:t xml:space="preserve"> </w:t>
      </w:r>
    </w:p>
    <w:p w14:paraId="3EEFAC72" w14:textId="77777777" w:rsidR="007D7613" w:rsidRDefault="00B26280">
      <w:pPr>
        <w:numPr>
          <w:ilvl w:val="0"/>
          <w:numId w:val="6"/>
        </w:numPr>
        <w:ind w:hanging="358"/>
      </w:pPr>
      <w:r>
        <w:t>W zakresie nieuregulowanym w Umowie, zastosowanie znajdą postanowienia Umowy Ramowej oraz Wymagań. W przypadku istnienia jakichkolwiek rozbieżności pomiędzy treścią Umowy Ramowej a Umową, pierwszeństwo mają postanowienia niniejszej Umowy.</w:t>
      </w:r>
      <w:r>
        <w:rPr>
          <w:b/>
        </w:rPr>
        <w:t xml:space="preserve"> </w:t>
      </w:r>
    </w:p>
    <w:p w14:paraId="0BB76064" w14:textId="77777777" w:rsidR="007D7613" w:rsidRDefault="00B26280">
      <w:pPr>
        <w:numPr>
          <w:ilvl w:val="0"/>
          <w:numId w:val="6"/>
        </w:numPr>
        <w:spacing w:after="62"/>
        <w:ind w:hanging="358"/>
      </w:pPr>
      <w:r>
        <w:t xml:space="preserve">W przypadku, gdy w wyniku wykładni niniejszej Umowy dojdzie do rozbieżności interpretacyjnych, stosuje się postanowienia określone w Wymaganiach, jeśli postanowienia Umowy miałyby być sprzeczne z bezwzględnie obowiązującymi postanowieniami Wymagań. </w:t>
      </w:r>
      <w:r>
        <w:rPr>
          <w:b/>
        </w:rPr>
        <w:t xml:space="preserve"> </w:t>
      </w:r>
    </w:p>
    <w:p w14:paraId="14F9A10A" w14:textId="77777777" w:rsidR="007D7613" w:rsidRDefault="00B26280">
      <w:pPr>
        <w:numPr>
          <w:ilvl w:val="0"/>
          <w:numId w:val="6"/>
        </w:numPr>
        <w:spacing w:after="84" w:line="259" w:lineRule="auto"/>
        <w:ind w:hanging="358"/>
      </w:pPr>
      <w:r>
        <w:t xml:space="preserve">Załączniki do Umowy stanowią jej integralną część. </w:t>
      </w:r>
      <w:r>
        <w:rPr>
          <w:b/>
        </w:rPr>
        <w:t xml:space="preserve"> </w:t>
      </w:r>
    </w:p>
    <w:p w14:paraId="47A3C5C3" w14:textId="77777777" w:rsidR="007D7613" w:rsidRDefault="00B26280">
      <w:pPr>
        <w:numPr>
          <w:ilvl w:val="0"/>
          <w:numId w:val="6"/>
        </w:numPr>
        <w:spacing w:after="89" w:line="259" w:lineRule="auto"/>
        <w:ind w:hanging="358"/>
      </w:pPr>
      <w:r>
        <w:rPr>
          <w:b/>
        </w:rPr>
        <w:t xml:space="preserve">Załączniki do Umowy: </w:t>
      </w:r>
    </w:p>
    <w:p w14:paraId="70E6AE77" w14:textId="77777777" w:rsidR="007D7613" w:rsidRDefault="00B26280">
      <w:pPr>
        <w:ind w:left="-15" w:right="2142" w:firstLine="0"/>
      </w:pPr>
      <w:r>
        <w:rPr>
          <w:b/>
        </w:rPr>
        <w:t>Załącznik nr 1</w:t>
      </w:r>
      <w:r>
        <w:t xml:space="preserve"> - Wniosek o zawarcie Umowy o świadczenie Usługi; </w:t>
      </w:r>
      <w:r>
        <w:rPr>
          <w:b/>
        </w:rPr>
        <w:t>Załącznik nr 2</w:t>
      </w:r>
      <w:r>
        <w:t xml:space="preserve"> - Zamówienie na Usługę. </w:t>
      </w:r>
    </w:p>
    <w:p w14:paraId="5CC00942" w14:textId="77777777" w:rsidR="007D7613" w:rsidRDefault="00B26280">
      <w:pPr>
        <w:spacing w:after="53" w:line="259" w:lineRule="auto"/>
        <w:ind w:left="0" w:firstLine="0"/>
        <w:jc w:val="left"/>
      </w:pPr>
      <w:r>
        <w:t xml:space="preserve"> </w:t>
      </w:r>
    </w:p>
    <w:p w14:paraId="4E3016E5" w14:textId="77777777" w:rsidR="007D7613" w:rsidRDefault="00B26280">
      <w:pPr>
        <w:spacing w:after="50" w:line="259" w:lineRule="auto"/>
        <w:ind w:left="0" w:firstLine="0"/>
        <w:jc w:val="left"/>
      </w:pPr>
      <w:r>
        <w:t xml:space="preserve"> </w:t>
      </w:r>
    </w:p>
    <w:p w14:paraId="25EB3AF1" w14:textId="77777777" w:rsidR="007D7613" w:rsidRDefault="00B26280">
      <w:pPr>
        <w:spacing w:after="53" w:line="259" w:lineRule="auto"/>
        <w:ind w:left="-5" w:hanging="10"/>
      </w:pPr>
      <w:r>
        <w:rPr>
          <w:i/>
        </w:rPr>
        <w:t xml:space="preserve">Podpisy Stron: </w:t>
      </w:r>
    </w:p>
    <w:p w14:paraId="4C40EAAB" w14:textId="77777777" w:rsidR="007D7613" w:rsidRDefault="00B26280">
      <w:pPr>
        <w:spacing w:after="53" w:line="259" w:lineRule="auto"/>
        <w:ind w:left="0" w:firstLine="0"/>
        <w:jc w:val="left"/>
      </w:pPr>
      <w:r>
        <w:t xml:space="preserve"> </w:t>
      </w:r>
    </w:p>
    <w:p w14:paraId="71778805" w14:textId="77777777" w:rsidR="007D7613" w:rsidRDefault="00B26280">
      <w:pPr>
        <w:tabs>
          <w:tab w:val="center" w:pos="1416"/>
          <w:tab w:val="center" w:pos="2124"/>
          <w:tab w:val="center" w:pos="2833"/>
          <w:tab w:val="center" w:pos="3541"/>
          <w:tab w:val="center" w:pos="4249"/>
          <w:tab w:val="center" w:pos="4957"/>
          <w:tab w:val="center" w:pos="6052"/>
        </w:tabs>
        <w:spacing w:after="57" w:line="259" w:lineRule="auto"/>
        <w:ind w:left="-15" w:firstLine="0"/>
        <w:jc w:val="left"/>
      </w:pPr>
      <w:r>
        <w:rPr>
          <w:b/>
        </w:rPr>
        <w:t>Za OK,</w:t>
      </w:r>
      <w:r>
        <w:t xml:space="preserve">  </w:t>
      </w:r>
      <w:r>
        <w:tab/>
        <w:t xml:space="preserve"> </w:t>
      </w:r>
      <w:r>
        <w:tab/>
        <w:t xml:space="preserve"> </w:t>
      </w:r>
      <w:r>
        <w:tab/>
        <w:t xml:space="preserve"> </w:t>
      </w:r>
      <w:r>
        <w:tab/>
        <w:t xml:space="preserve"> </w:t>
      </w:r>
      <w:r>
        <w:tab/>
        <w:t xml:space="preserve"> </w:t>
      </w:r>
      <w:r>
        <w:tab/>
        <w:t xml:space="preserve"> </w:t>
      </w:r>
      <w:r>
        <w:tab/>
      </w:r>
      <w:r>
        <w:rPr>
          <w:b/>
        </w:rPr>
        <w:t>Za</w:t>
      </w:r>
      <w:r>
        <w:t xml:space="preserve"> </w:t>
      </w:r>
      <w:r>
        <w:rPr>
          <w:b/>
        </w:rPr>
        <w:t>OSD,</w:t>
      </w:r>
      <w:r>
        <w:t xml:space="preserve"> </w:t>
      </w:r>
    </w:p>
    <w:p w14:paraId="11AA2939" w14:textId="77777777" w:rsidR="007D7613" w:rsidRDefault="00B26280">
      <w:pPr>
        <w:spacing w:after="53" w:line="259" w:lineRule="auto"/>
        <w:ind w:left="0" w:firstLine="0"/>
        <w:jc w:val="left"/>
      </w:pPr>
      <w:r>
        <w:t xml:space="preserve"> </w:t>
      </w:r>
    </w:p>
    <w:p w14:paraId="55120A22" w14:textId="77777777" w:rsidR="003248E6" w:rsidRDefault="00B26280">
      <w:pPr>
        <w:spacing w:after="78" w:line="259" w:lineRule="auto"/>
        <w:ind w:left="-15" w:firstLine="0"/>
      </w:pPr>
      <w:r>
        <w:rPr>
          <w:shd w:val="clear" w:color="auto" w:fill="FFFF00"/>
        </w:rPr>
        <w:t>_________________________</w:t>
      </w:r>
      <w:r>
        <w:t xml:space="preserve">  </w:t>
      </w:r>
      <w:r>
        <w:tab/>
        <w:t xml:space="preserve"> </w:t>
      </w:r>
      <w:r>
        <w:tab/>
        <w:t xml:space="preserve"> </w:t>
      </w:r>
      <w:r>
        <w:tab/>
        <w:t xml:space="preserve"> </w:t>
      </w:r>
      <w:r>
        <w:tab/>
      </w:r>
      <w:r>
        <w:rPr>
          <w:shd w:val="clear" w:color="auto" w:fill="FFFF00"/>
        </w:rPr>
        <w:t>_________________________</w:t>
      </w:r>
      <w:r>
        <w:t xml:space="preserve">  </w:t>
      </w:r>
    </w:p>
    <w:p w14:paraId="2CAF31DF" w14:textId="77777777" w:rsidR="003248E6" w:rsidRDefault="003248E6">
      <w:pPr>
        <w:spacing w:after="78" w:line="259" w:lineRule="auto"/>
        <w:ind w:left="-15" w:firstLine="0"/>
      </w:pPr>
    </w:p>
    <w:p w14:paraId="52BDC1AA" w14:textId="77777777" w:rsidR="003248E6" w:rsidRDefault="003248E6">
      <w:pPr>
        <w:spacing w:after="78" w:line="259" w:lineRule="auto"/>
        <w:ind w:left="-15" w:firstLine="0"/>
      </w:pPr>
    </w:p>
    <w:p w14:paraId="34713F8D" w14:textId="77777777" w:rsidR="003248E6" w:rsidRDefault="003248E6">
      <w:pPr>
        <w:spacing w:after="78" w:line="259" w:lineRule="auto"/>
        <w:ind w:left="-15" w:firstLine="0"/>
      </w:pPr>
    </w:p>
    <w:p w14:paraId="47FC177E" w14:textId="54BB6728" w:rsidR="007D7613" w:rsidRDefault="00B26280">
      <w:pPr>
        <w:spacing w:after="78" w:line="259" w:lineRule="auto"/>
        <w:ind w:left="-15" w:firstLine="0"/>
      </w:pPr>
      <w:r>
        <w:rPr>
          <w:b/>
        </w:rPr>
        <w:t>Załącznik nr 1</w:t>
      </w:r>
      <w:r>
        <w:t xml:space="preserve"> do Umowy o świadczenie Usług - Wniosek o zawarcie Umowy o świadczenie Usługi  </w:t>
      </w:r>
    </w:p>
    <w:p w14:paraId="2D1E27EC" w14:textId="77777777" w:rsidR="007D7613" w:rsidRDefault="00B26280">
      <w:pPr>
        <w:spacing w:after="53" w:line="259" w:lineRule="auto"/>
        <w:ind w:left="0" w:firstLine="0"/>
        <w:jc w:val="left"/>
      </w:pPr>
      <w:r>
        <w:rPr>
          <w:b/>
        </w:rPr>
        <w:t>(</w:t>
      </w:r>
      <w:r>
        <w:rPr>
          <w:b/>
          <w:i/>
        </w:rPr>
        <w:t>wzór</w:t>
      </w:r>
      <w:r>
        <w:rPr>
          <w:b/>
        </w:rPr>
        <w:t>)</w:t>
      </w:r>
      <w:r>
        <w:t xml:space="preserve"> </w:t>
      </w:r>
    </w:p>
    <w:p w14:paraId="78EE58D4" w14:textId="77777777" w:rsidR="007D7613" w:rsidRDefault="00B26280">
      <w:pPr>
        <w:spacing w:after="85" w:line="259" w:lineRule="auto"/>
        <w:ind w:left="0" w:firstLine="0"/>
        <w:jc w:val="left"/>
      </w:pPr>
      <w:r>
        <w:t xml:space="preserve"> </w:t>
      </w:r>
    </w:p>
    <w:p w14:paraId="6AD2C3E2" w14:textId="77777777" w:rsidR="007D7613" w:rsidRDefault="00B26280">
      <w:pPr>
        <w:pStyle w:val="Nagwek1"/>
        <w:ind w:left="10" w:right="5"/>
      </w:pPr>
      <w:r>
        <w:t xml:space="preserve">Wniosek o zawarcie Umowy o świadczenie Usługi  </w:t>
      </w:r>
    </w:p>
    <w:tbl>
      <w:tblPr>
        <w:tblStyle w:val="TableGrid"/>
        <w:tblW w:w="9894" w:type="dxa"/>
        <w:tblInd w:w="5" w:type="dxa"/>
        <w:tblCellMar>
          <w:top w:w="12" w:type="dxa"/>
          <w:left w:w="0" w:type="dxa"/>
          <w:bottom w:w="0" w:type="dxa"/>
          <w:right w:w="52" w:type="dxa"/>
        </w:tblCellMar>
        <w:tblLook w:val="04A0" w:firstRow="1" w:lastRow="0" w:firstColumn="1" w:lastColumn="0" w:noHBand="0" w:noVBand="1"/>
      </w:tblPr>
      <w:tblGrid>
        <w:gridCol w:w="1741"/>
        <w:gridCol w:w="351"/>
        <w:gridCol w:w="7802"/>
      </w:tblGrid>
      <w:tr w:rsidR="007D7613" w14:paraId="1A775C11" w14:textId="77777777">
        <w:trPr>
          <w:trHeight w:val="1510"/>
        </w:trPr>
        <w:tc>
          <w:tcPr>
            <w:tcW w:w="1741" w:type="dxa"/>
            <w:tcBorders>
              <w:top w:val="single" w:sz="4" w:space="0" w:color="000000"/>
              <w:left w:val="single" w:sz="4" w:space="0" w:color="000000"/>
              <w:bottom w:val="single" w:sz="4" w:space="0" w:color="000000"/>
              <w:right w:val="nil"/>
            </w:tcBorders>
          </w:tcPr>
          <w:p w14:paraId="32B1B382" w14:textId="77777777" w:rsidR="007D7613" w:rsidRDefault="00B26280">
            <w:pPr>
              <w:spacing w:after="0" w:line="259" w:lineRule="auto"/>
              <w:ind w:left="110" w:firstLine="0"/>
              <w:jc w:val="left"/>
            </w:pPr>
            <w:r>
              <w:rPr>
                <w:b/>
              </w:rPr>
              <w:t>Dane OSD</w:t>
            </w:r>
            <w:r>
              <w:t xml:space="preserve"> </w:t>
            </w:r>
          </w:p>
        </w:tc>
        <w:tc>
          <w:tcPr>
            <w:tcW w:w="351" w:type="dxa"/>
            <w:tcBorders>
              <w:top w:val="single" w:sz="4" w:space="0" w:color="000000"/>
              <w:left w:val="nil"/>
              <w:bottom w:val="single" w:sz="4" w:space="0" w:color="000000"/>
              <w:right w:val="single" w:sz="4" w:space="0" w:color="000000"/>
            </w:tcBorders>
          </w:tcPr>
          <w:p w14:paraId="6640462F" w14:textId="77777777" w:rsidR="007D7613" w:rsidRDefault="007D7613">
            <w:pPr>
              <w:spacing w:after="160" w:line="259" w:lineRule="auto"/>
              <w:ind w:left="0" w:firstLine="0"/>
              <w:jc w:val="left"/>
            </w:pPr>
          </w:p>
        </w:tc>
        <w:tc>
          <w:tcPr>
            <w:tcW w:w="7802" w:type="dxa"/>
            <w:tcBorders>
              <w:top w:val="single" w:sz="4" w:space="0" w:color="000000"/>
              <w:left w:val="single" w:sz="4" w:space="0" w:color="000000"/>
              <w:bottom w:val="single" w:sz="4" w:space="0" w:color="000000"/>
              <w:right w:val="single" w:sz="4" w:space="0" w:color="000000"/>
            </w:tcBorders>
          </w:tcPr>
          <w:p w14:paraId="4AD16F9C" w14:textId="77777777" w:rsidR="007D7613" w:rsidRDefault="00B26280">
            <w:pPr>
              <w:spacing w:after="47" w:line="259" w:lineRule="auto"/>
              <w:ind w:left="110" w:firstLine="0"/>
              <w:jc w:val="left"/>
            </w:pPr>
            <w:r>
              <w:rPr>
                <w:b/>
              </w:rPr>
              <w:t xml:space="preserve">Nazwa firmy/Imię i nazwisko: Pavel Žižka ORELSOFT.PL z </w:t>
            </w:r>
            <w:proofErr w:type="spellStart"/>
            <w:r>
              <w:rPr>
                <w:b/>
              </w:rPr>
              <w:t>oddzia</w:t>
            </w:r>
            <w:proofErr w:type="spellEnd"/>
            <w:r>
              <w:t xml:space="preserve"> </w:t>
            </w:r>
          </w:p>
          <w:p w14:paraId="5FB39B25" w14:textId="77777777" w:rsidR="007D7613" w:rsidRDefault="00B26280">
            <w:pPr>
              <w:spacing w:after="0" w:line="303" w:lineRule="auto"/>
              <w:ind w:left="110" w:firstLine="0"/>
              <w:jc w:val="left"/>
            </w:pPr>
            <w:r>
              <w:rPr>
                <w:b/>
              </w:rPr>
              <w:t>Adres siedziby</w:t>
            </w:r>
            <w:r>
              <w:t xml:space="preserve">: Na Veselce 1013, Upice 542 32, ul. Zamkowa 2, 48-200 Prudnik </w:t>
            </w:r>
            <w:r>
              <w:rPr>
                <w:b/>
              </w:rPr>
              <w:t xml:space="preserve">KRS: </w:t>
            </w:r>
            <w:r>
              <w:t xml:space="preserve">0001051507 </w:t>
            </w:r>
          </w:p>
          <w:p w14:paraId="0853D4BA" w14:textId="77777777" w:rsidR="007D7613" w:rsidRDefault="00B26280">
            <w:pPr>
              <w:spacing w:after="19" w:line="259" w:lineRule="auto"/>
              <w:ind w:left="110" w:firstLine="0"/>
              <w:jc w:val="left"/>
            </w:pPr>
            <w:r>
              <w:rPr>
                <w:b/>
              </w:rPr>
              <w:t>REGON:</w:t>
            </w:r>
            <w:r>
              <w:t xml:space="preserve"> 52604741900000</w:t>
            </w:r>
            <w:r>
              <w:rPr>
                <w:b/>
              </w:rPr>
              <w:t xml:space="preserve"> </w:t>
            </w:r>
          </w:p>
          <w:p w14:paraId="1314A7D5" w14:textId="77777777" w:rsidR="007D7613" w:rsidRDefault="00B26280">
            <w:pPr>
              <w:spacing w:after="0" w:line="259" w:lineRule="auto"/>
              <w:ind w:left="110" w:firstLine="0"/>
              <w:jc w:val="left"/>
            </w:pPr>
            <w:r>
              <w:rPr>
                <w:b/>
              </w:rPr>
              <w:t xml:space="preserve"> </w:t>
            </w:r>
          </w:p>
        </w:tc>
      </w:tr>
      <w:tr w:rsidR="007D7613" w14:paraId="0BB22008" w14:textId="77777777">
        <w:trPr>
          <w:trHeight w:val="2108"/>
        </w:trPr>
        <w:tc>
          <w:tcPr>
            <w:tcW w:w="1741" w:type="dxa"/>
            <w:tcBorders>
              <w:top w:val="single" w:sz="4" w:space="0" w:color="000000"/>
              <w:left w:val="single" w:sz="4" w:space="0" w:color="000000"/>
              <w:bottom w:val="single" w:sz="4" w:space="0" w:color="000000"/>
              <w:right w:val="nil"/>
            </w:tcBorders>
          </w:tcPr>
          <w:p w14:paraId="7013A8CD" w14:textId="77777777" w:rsidR="007D7613" w:rsidRDefault="00B26280">
            <w:pPr>
              <w:spacing w:after="0" w:line="259" w:lineRule="auto"/>
              <w:ind w:left="110" w:firstLine="0"/>
              <w:jc w:val="left"/>
            </w:pPr>
            <w:r>
              <w:rPr>
                <w:b/>
              </w:rPr>
              <w:t>Dane OK</w:t>
            </w:r>
            <w:r>
              <w:t xml:space="preserve"> </w:t>
            </w:r>
          </w:p>
        </w:tc>
        <w:tc>
          <w:tcPr>
            <w:tcW w:w="351" w:type="dxa"/>
            <w:tcBorders>
              <w:top w:val="single" w:sz="4" w:space="0" w:color="000000"/>
              <w:left w:val="nil"/>
              <w:bottom w:val="single" w:sz="4" w:space="0" w:color="000000"/>
              <w:right w:val="single" w:sz="4" w:space="0" w:color="000000"/>
            </w:tcBorders>
          </w:tcPr>
          <w:p w14:paraId="3D3FBC41" w14:textId="77777777" w:rsidR="007D7613" w:rsidRDefault="007D7613">
            <w:pPr>
              <w:spacing w:after="160" w:line="259" w:lineRule="auto"/>
              <w:ind w:left="0" w:firstLine="0"/>
              <w:jc w:val="left"/>
            </w:pPr>
          </w:p>
        </w:tc>
        <w:tc>
          <w:tcPr>
            <w:tcW w:w="7802" w:type="dxa"/>
            <w:tcBorders>
              <w:top w:val="single" w:sz="4" w:space="0" w:color="000000"/>
              <w:left w:val="single" w:sz="4" w:space="0" w:color="000000"/>
              <w:bottom w:val="single" w:sz="4" w:space="0" w:color="000000"/>
              <w:right w:val="single" w:sz="4" w:space="0" w:color="000000"/>
            </w:tcBorders>
          </w:tcPr>
          <w:p w14:paraId="5125E626" w14:textId="77777777" w:rsidR="007D7613" w:rsidRDefault="00B26280">
            <w:pPr>
              <w:spacing w:after="0" w:line="314" w:lineRule="auto"/>
              <w:ind w:left="110" w:right="4273" w:firstLine="0"/>
              <w:jc w:val="left"/>
            </w:pPr>
            <w:r>
              <w:rPr>
                <w:b/>
              </w:rPr>
              <w:t xml:space="preserve">Nazwa firmy/ Imię nazwisko: </w:t>
            </w:r>
            <w:r>
              <w:t xml:space="preserve"> </w:t>
            </w:r>
            <w:r>
              <w:rPr>
                <w:b/>
              </w:rPr>
              <w:t xml:space="preserve">Adres siedziby: </w:t>
            </w:r>
          </w:p>
          <w:p w14:paraId="35FB2628" w14:textId="77777777" w:rsidR="007D7613" w:rsidRDefault="00B26280">
            <w:pPr>
              <w:spacing w:after="53" w:line="259" w:lineRule="auto"/>
              <w:ind w:left="110" w:firstLine="0"/>
              <w:jc w:val="left"/>
            </w:pPr>
            <w:r>
              <w:rPr>
                <w:b/>
              </w:rPr>
              <w:t xml:space="preserve">NIP: </w:t>
            </w:r>
          </w:p>
          <w:p w14:paraId="7EF3AB03" w14:textId="77777777" w:rsidR="007D7613" w:rsidRDefault="00B26280">
            <w:pPr>
              <w:spacing w:after="38" w:line="312" w:lineRule="auto"/>
              <w:ind w:left="110" w:right="6297" w:firstLine="0"/>
              <w:jc w:val="left"/>
            </w:pPr>
            <w:r>
              <w:rPr>
                <w:b/>
              </w:rPr>
              <w:t xml:space="preserve">REGON: KRS: </w:t>
            </w:r>
          </w:p>
          <w:p w14:paraId="64F4942A" w14:textId="77777777" w:rsidR="007D7613" w:rsidRDefault="00B26280">
            <w:pPr>
              <w:spacing w:after="50" w:line="259" w:lineRule="auto"/>
              <w:ind w:left="110" w:firstLine="0"/>
              <w:jc w:val="left"/>
            </w:pPr>
            <w:r>
              <w:rPr>
                <w:b/>
              </w:rPr>
              <w:t xml:space="preserve">Wysokość kapitału zakładowego: </w:t>
            </w:r>
          </w:p>
          <w:p w14:paraId="15E4F5B0" w14:textId="77777777" w:rsidR="007D7613" w:rsidRDefault="00B26280">
            <w:pPr>
              <w:spacing w:after="0" w:line="259" w:lineRule="auto"/>
              <w:ind w:left="110" w:firstLine="0"/>
              <w:jc w:val="left"/>
            </w:pPr>
            <w:r>
              <w:rPr>
                <w:b/>
              </w:rPr>
              <w:t>Dane kontaktowe:</w:t>
            </w:r>
            <w:r>
              <w:t xml:space="preserve"> </w:t>
            </w:r>
          </w:p>
        </w:tc>
      </w:tr>
      <w:tr w:rsidR="007D7613" w14:paraId="41E316F7" w14:textId="77777777">
        <w:trPr>
          <w:trHeight w:val="2755"/>
        </w:trPr>
        <w:tc>
          <w:tcPr>
            <w:tcW w:w="1741" w:type="dxa"/>
            <w:tcBorders>
              <w:top w:val="single" w:sz="4" w:space="0" w:color="000000"/>
              <w:left w:val="single" w:sz="4" w:space="0" w:color="000000"/>
              <w:bottom w:val="single" w:sz="4" w:space="0" w:color="000000"/>
              <w:right w:val="nil"/>
            </w:tcBorders>
          </w:tcPr>
          <w:p w14:paraId="4B838422" w14:textId="77777777" w:rsidR="007D7613" w:rsidRDefault="00B26280">
            <w:pPr>
              <w:spacing w:after="0" w:line="259" w:lineRule="auto"/>
              <w:ind w:left="141" w:hanging="31"/>
              <w:jc w:val="left"/>
            </w:pPr>
            <w:r>
              <w:rPr>
                <w:b/>
              </w:rPr>
              <w:t xml:space="preserve"> Załączniki wniosku (*): </w:t>
            </w:r>
          </w:p>
        </w:tc>
        <w:tc>
          <w:tcPr>
            <w:tcW w:w="351" w:type="dxa"/>
            <w:tcBorders>
              <w:top w:val="single" w:sz="4" w:space="0" w:color="000000"/>
              <w:left w:val="nil"/>
              <w:bottom w:val="single" w:sz="4" w:space="0" w:color="000000"/>
              <w:right w:val="single" w:sz="4" w:space="0" w:color="000000"/>
            </w:tcBorders>
          </w:tcPr>
          <w:p w14:paraId="0F70F328" w14:textId="77777777" w:rsidR="007D7613" w:rsidRDefault="00B26280">
            <w:pPr>
              <w:spacing w:after="0" w:line="259" w:lineRule="auto"/>
              <w:ind w:left="0" w:firstLine="0"/>
            </w:pPr>
            <w:r>
              <w:rPr>
                <w:b/>
              </w:rPr>
              <w:t xml:space="preserve">do </w:t>
            </w:r>
          </w:p>
        </w:tc>
        <w:tc>
          <w:tcPr>
            <w:tcW w:w="7802" w:type="dxa"/>
            <w:tcBorders>
              <w:top w:val="single" w:sz="4" w:space="0" w:color="000000"/>
              <w:left w:val="single" w:sz="4" w:space="0" w:color="000000"/>
              <w:bottom w:val="single" w:sz="4" w:space="0" w:color="000000"/>
              <w:right w:val="single" w:sz="4" w:space="0" w:color="000000"/>
            </w:tcBorders>
          </w:tcPr>
          <w:p w14:paraId="7B2D0119" w14:textId="77777777" w:rsidR="007D7613" w:rsidRDefault="00B26280">
            <w:pPr>
              <w:numPr>
                <w:ilvl w:val="0"/>
                <w:numId w:val="7"/>
              </w:numPr>
              <w:spacing w:after="46" w:line="318" w:lineRule="auto"/>
              <w:ind w:left="468" w:hanging="358"/>
            </w:pPr>
            <w:r>
              <w:t xml:space="preserve">kopia dokumentu stwierdzającego uprawnienie do prowadzenia działalności telekomunikacyjnej; </w:t>
            </w:r>
          </w:p>
          <w:p w14:paraId="0890056F" w14:textId="77777777" w:rsidR="007D7613" w:rsidRDefault="00B26280">
            <w:pPr>
              <w:numPr>
                <w:ilvl w:val="0"/>
                <w:numId w:val="7"/>
              </w:numPr>
              <w:spacing w:after="25" w:line="338" w:lineRule="auto"/>
              <w:ind w:left="468" w:hanging="358"/>
            </w:pPr>
            <w:r>
              <w:t xml:space="preserve">kopia aktualnego odpisu z właściwego rejestru lub z centralnej ewidencji i informacji o działalności gospodarczej; </w:t>
            </w:r>
          </w:p>
          <w:p w14:paraId="182D35CA" w14:textId="77777777" w:rsidR="007D7613" w:rsidRDefault="00B26280">
            <w:pPr>
              <w:numPr>
                <w:ilvl w:val="0"/>
                <w:numId w:val="7"/>
              </w:numPr>
              <w:spacing w:after="16" w:line="350" w:lineRule="auto"/>
              <w:ind w:left="468" w:hanging="358"/>
            </w:pPr>
            <w:r>
              <w:t xml:space="preserve">kopie dokumentów potwierdzających legitymację osób wnioskujących do reprezentowania OK i składania w imieniu OK oświadczeń woli w przypadku, gdy wniosek podpisuje osoba niefigurująca w KRS; </w:t>
            </w:r>
          </w:p>
          <w:p w14:paraId="19753E48" w14:textId="77777777" w:rsidR="007D7613" w:rsidRDefault="00B26280">
            <w:pPr>
              <w:numPr>
                <w:ilvl w:val="0"/>
                <w:numId w:val="7"/>
              </w:numPr>
              <w:spacing w:after="0" w:line="259" w:lineRule="auto"/>
              <w:ind w:left="468" w:hanging="358"/>
            </w:pPr>
            <w:r>
              <w:t xml:space="preserve">upoważnienie do złożenia wniosku oraz ewentualnie do zawarcia Umowy o świadczenie Usługi. </w:t>
            </w:r>
          </w:p>
        </w:tc>
      </w:tr>
    </w:tbl>
    <w:p w14:paraId="3FF4CE28" w14:textId="77777777" w:rsidR="007D7613" w:rsidRDefault="00B26280">
      <w:pPr>
        <w:ind w:left="353"/>
      </w:pPr>
      <w:r>
        <w:t xml:space="preserve">* - do wniosku o zawarcie Umowy o świadczenie Usługi („Umowa”) należy załączyć odpowiednie dokumenty, jeżeli Umowa ramowa i Umowa nie są zawierane jednocześnie </w:t>
      </w:r>
    </w:p>
    <w:p w14:paraId="2D95B8DD" w14:textId="77777777" w:rsidR="007D7613" w:rsidRDefault="00B26280">
      <w:pPr>
        <w:spacing w:after="50" w:line="259" w:lineRule="auto"/>
        <w:ind w:left="0" w:firstLine="0"/>
        <w:jc w:val="left"/>
      </w:pPr>
      <w:r>
        <w:t xml:space="preserve"> </w:t>
      </w:r>
    </w:p>
    <w:p w14:paraId="63E1B213" w14:textId="77777777" w:rsidR="007D7613" w:rsidRDefault="00B26280">
      <w:pPr>
        <w:spacing w:after="53" w:line="259" w:lineRule="auto"/>
        <w:ind w:left="0" w:firstLine="0"/>
        <w:jc w:val="left"/>
      </w:pPr>
      <w:r>
        <w:t xml:space="preserve"> </w:t>
      </w:r>
    </w:p>
    <w:p w14:paraId="64798128" w14:textId="77777777" w:rsidR="007D7613" w:rsidRDefault="00B26280">
      <w:pPr>
        <w:spacing w:after="53" w:line="259" w:lineRule="auto"/>
        <w:ind w:left="0" w:firstLine="0"/>
        <w:jc w:val="left"/>
      </w:pPr>
      <w:r>
        <w:rPr>
          <w:shd w:val="clear" w:color="auto" w:fill="FFFF00"/>
        </w:rPr>
        <w:t>_____________________________</w:t>
      </w:r>
      <w:r>
        <w:t xml:space="preserve"> </w:t>
      </w:r>
    </w:p>
    <w:p w14:paraId="245CB7D8" w14:textId="77777777" w:rsidR="007D7613" w:rsidRDefault="00B26280">
      <w:pPr>
        <w:spacing w:after="50" w:line="259" w:lineRule="auto"/>
        <w:ind w:hanging="10"/>
        <w:jc w:val="left"/>
      </w:pPr>
      <w:r>
        <w:rPr>
          <w:b/>
        </w:rPr>
        <w:t>Za OK</w:t>
      </w:r>
      <w:r>
        <w:t xml:space="preserve"> </w:t>
      </w:r>
    </w:p>
    <w:p w14:paraId="1405AAEB" w14:textId="77777777" w:rsidR="007D7613" w:rsidRDefault="00B26280">
      <w:pPr>
        <w:spacing w:after="53" w:line="259" w:lineRule="auto"/>
        <w:ind w:left="0" w:firstLine="0"/>
        <w:jc w:val="left"/>
      </w:pPr>
      <w:r>
        <w:t xml:space="preserve"> </w:t>
      </w:r>
    </w:p>
    <w:p w14:paraId="387ABDDB" w14:textId="77777777" w:rsidR="007D7613" w:rsidRDefault="00B26280">
      <w:pPr>
        <w:spacing w:after="50" w:line="259" w:lineRule="auto"/>
        <w:ind w:left="0" w:firstLine="0"/>
        <w:jc w:val="left"/>
      </w:pPr>
      <w:r>
        <w:t xml:space="preserve"> </w:t>
      </w:r>
    </w:p>
    <w:p w14:paraId="57D25525" w14:textId="77777777" w:rsidR="007D7613" w:rsidRDefault="00B26280">
      <w:pPr>
        <w:spacing w:after="53" w:line="259" w:lineRule="auto"/>
        <w:ind w:left="0" w:firstLine="0"/>
        <w:jc w:val="left"/>
      </w:pPr>
      <w:r>
        <w:t xml:space="preserve"> </w:t>
      </w:r>
    </w:p>
    <w:p w14:paraId="3B195D6F" w14:textId="77777777" w:rsidR="007D7613" w:rsidRDefault="00B26280">
      <w:pPr>
        <w:spacing w:after="50" w:line="259" w:lineRule="auto"/>
        <w:ind w:left="0" w:firstLine="0"/>
        <w:jc w:val="left"/>
      </w:pPr>
      <w:r>
        <w:t xml:space="preserve"> </w:t>
      </w:r>
    </w:p>
    <w:p w14:paraId="572241DE" w14:textId="77777777" w:rsidR="007D7613" w:rsidRDefault="00B26280">
      <w:pPr>
        <w:spacing w:after="53" w:line="259" w:lineRule="auto"/>
        <w:ind w:left="0" w:firstLine="0"/>
        <w:jc w:val="left"/>
      </w:pPr>
      <w:r>
        <w:t xml:space="preserve"> </w:t>
      </w:r>
    </w:p>
    <w:p w14:paraId="5845B39E" w14:textId="77777777" w:rsidR="007D7613" w:rsidRDefault="00B26280">
      <w:pPr>
        <w:spacing w:after="53" w:line="259" w:lineRule="auto"/>
        <w:ind w:left="0" w:firstLine="0"/>
        <w:jc w:val="left"/>
      </w:pPr>
      <w:r>
        <w:t xml:space="preserve"> </w:t>
      </w:r>
    </w:p>
    <w:p w14:paraId="0508A9AA" w14:textId="77777777" w:rsidR="007D7613" w:rsidRDefault="00B26280">
      <w:pPr>
        <w:spacing w:after="50" w:line="259" w:lineRule="auto"/>
        <w:ind w:left="0" w:firstLine="0"/>
        <w:jc w:val="left"/>
      </w:pPr>
      <w:r>
        <w:t xml:space="preserve"> </w:t>
      </w:r>
    </w:p>
    <w:p w14:paraId="38619C80" w14:textId="77777777" w:rsidR="007D7613" w:rsidRDefault="00B26280">
      <w:pPr>
        <w:spacing w:after="53" w:line="259" w:lineRule="auto"/>
        <w:ind w:left="0" w:firstLine="0"/>
        <w:jc w:val="left"/>
      </w:pPr>
      <w:r>
        <w:t xml:space="preserve"> </w:t>
      </w:r>
    </w:p>
    <w:p w14:paraId="13BDA7C1" w14:textId="77777777" w:rsidR="007D7613" w:rsidRDefault="00B26280">
      <w:pPr>
        <w:spacing w:after="50" w:line="259" w:lineRule="auto"/>
        <w:ind w:left="0" w:firstLine="0"/>
        <w:jc w:val="left"/>
      </w:pPr>
      <w:r>
        <w:t xml:space="preserve"> </w:t>
      </w:r>
    </w:p>
    <w:p w14:paraId="6DD95500" w14:textId="77777777" w:rsidR="007D7613" w:rsidRDefault="00B26280">
      <w:pPr>
        <w:spacing w:after="53" w:line="259" w:lineRule="auto"/>
        <w:ind w:left="0" w:firstLine="0"/>
        <w:jc w:val="left"/>
      </w:pPr>
      <w:r>
        <w:t xml:space="preserve"> </w:t>
      </w:r>
    </w:p>
    <w:p w14:paraId="459EE28D" w14:textId="77777777" w:rsidR="007D7613" w:rsidRDefault="00B26280">
      <w:pPr>
        <w:spacing w:after="50" w:line="259" w:lineRule="auto"/>
        <w:ind w:left="0" w:firstLine="0"/>
        <w:jc w:val="left"/>
      </w:pPr>
      <w:r>
        <w:t xml:space="preserve"> </w:t>
      </w:r>
    </w:p>
    <w:p w14:paraId="7B66174E" w14:textId="77777777" w:rsidR="007D7613" w:rsidRDefault="00B26280">
      <w:pPr>
        <w:spacing w:after="53" w:line="259" w:lineRule="auto"/>
        <w:ind w:left="0" w:firstLine="0"/>
        <w:jc w:val="left"/>
      </w:pPr>
      <w:r>
        <w:t xml:space="preserve"> </w:t>
      </w:r>
    </w:p>
    <w:p w14:paraId="645962D5" w14:textId="77777777" w:rsidR="003248E6" w:rsidRDefault="00B26280" w:rsidP="003248E6">
      <w:pPr>
        <w:spacing w:after="53" w:line="259" w:lineRule="auto"/>
        <w:ind w:left="0" w:firstLine="0"/>
        <w:jc w:val="left"/>
      </w:pPr>
      <w:r>
        <w:rPr>
          <w:b/>
        </w:rPr>
        <w:t xml:space="preserve"> </w:t>
      </w:r>
    </w:p>
    <w:p w14:paraId="6F310C15" w14:textId="094C08E9" w:rsidR="007D7613" w:rsidRDefault="00B26280" w:rsidP="003248E6">
      <w:pPr>
        <w:spacing w:after="53" w:line="259" w:lineRule="auto"/>
        <w:ind w:left="0" w:firstLine="0"/>
        <w:jc w:val="left"/>
      </w:pPr>
      <w:r>
        <w:rPr>
          <w:b/>
        </w:rPr>
        <w:t>Załącznik nr 2</w:t>
      </w:r>
      <w:r>
        <w:t xml:space="preserve"> do Umowy o świadczenie Usług - Zamówienie na Usługę </w:t>
      </w:r>
      <w:r>
        <w:rPr>
          <w:b/>
        </w:rPr>
        <w:t>(</w:t>
      </w:r>
      <w:r>
        <w:rPr>
          <w:b/>
          <w:i/>
        </w:rPr>
        <w:t>wzór</w:t>
      </w:r>
      <w:r>
        <w:rPr>
          <w:b/>
        </w:rPr>
        <w:t xml:space="preserve">) </w:t>
      </w:r>
    </w:p>
    <w:p w14:paraId="47A97B50" w14:textId="77777777" w:rsidR="007D7613" w:rsidRDefault="00B26280">
      <w:pPr>
        <w:pStyle w:val="Nagwek1"/>
        <w:ind w:left="10" w:right="2"/>
      </w:pPr>
      <w:r>
        <w:t xml:space="preserve">Zamówienie Usługi  </w:t>
      </w:r>
    </w:p>
    <w:tbl>
      <w:tblPr>
        <w:tblStyle w:val="TableGrid"/>
        <w:tblW w:w="9066" w:type="dxa"/>
        <w:tblInd w:w="7" w:type="dxa"/>
        <w:tblCellMar>
          <w:top w:w="53" w:type="dxa"/>
          <w:left w:w="108" w:type="dxa"/>
          <w:bottom w:w="0" w:type="dxa"/>
          <w:right w:w="115" w:type="dxa"/>
        </w:tblCellMar>
        <w:tblLook w:val="04A0" w:firstRow="1" w:lastRow="0" w:firstColumn="1" w:lastColumn="0" w:noHBand="0" w:noVBand="1"/>
      </w:tblPr>
      <w:tblGrid>
        <w:gridCol w:w="2828"/>
        <w:gridCol w:w="6238"/>
      </w:tblGrid>
      <w:tr w:rsidR="007D7613" w14:paraId="098AEB20" w14:textId="77777777">
        <w:trPr>
          <w:trHeight w:val="676"/>
        </w:trPr>
        <w:tc>
          <w:tcPr>
            <w:tcW w:w="2828" w:type="dxa"/>
            <w:tcBorders>
              <w:top w:val="single" w:sz="4" w:space="0" w:color="000000"/>
              <w:left w:val="single" w:sz="4" w:space="0" w:color="000000"/>
              <w:bottom w:val="single" w:sz="4" w:space="0" w:color="000000"/>
              <w:right w:val="single" w:sz="4" w:space="0" w:color="000000"/>
            </w:tcBorders>
            <w:vAlign w:val="center"/>
          </w:tcPr>
          <w:p w14:paraId="4BEC854D" w14:textId="77777777" w:rsidR="007D7613" w:rsidRDefault="00B26280">
            <w:pPr>
              <w:spacing w:after="0" w:line="259" w:lineRule="auto"/>
              <w:ind w:left="0" w:firstLine="0"/>
              <w:jc w:val="left"/>
            </w:pPr>
            <w:r>
              <w:rPr>
                <w:b/>
                <w:sz w:val="18"/>
              </w:rPr>
              <w:t>Data Zamówienia</w:t>
            </w:r>
            <w:r>
              <w:rPr>
                <w:sz w:val="18"/>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14:paraId="4BC2C1A0" w14:textId="77777777" w:rsidR="007D7613" w:rsidRDefault="00B26280">
            <w:pPr>
              <w:spacing w:after="0" w:line="259" w:lineRule="auto"/>
              <w:ind w:left="2" w:firstLine="0"/>
              <w:jc w:val="left"/>
            </w:pPr>
            <w:r>
              <w:rPr>
                <w:sz w:val="18"/>
              </w:rPr>
              <w:t xml:space="preserve"> </w:t>
            </w:r>
          </w:p>
        </w:tc>
      </w:tr>
      <w:tr w:rsidR="007D7613" w14:paraId="0F14CA92" w14:textId="77777777">
        <w:trPr>
          <w:trHeight w:val="568"/>
        </w:trPr>
        <w:tc>
          <w:tcPr>
            <w:tcW w:w="2828" w:type="dxa"/>
            <w:tcBorders>
              <w:top w:val="single" w:sz="4" w:space="0" w:color="000000"/>
              <w:left w:val="single" w:sz="4" w:space="0" w:color="000000"/>
              <w:bottom w:val="single" w:sz="4" w:space="0" w:color="000000"/>
              <w:right w:val="single" w:sz="4" w:space="0" w:color="000000"/>
            </w:tcBorders>
            <w:shd w:val="clear" w:color="auto" w:fill="E7E6E6"/>
          </w:tcPr>
          <w:p w14:paraId="316ACF7E" w14:textId="77777777" w:rsidR="007D7613" w:rsidRDefault="00B26280">
            <w:pPr>
              <w:spacing w:after="74" w:line="259" w:lineRule="auto"/>
              <w:ind w:left="0" w:firstLine="0"/>
              <w:jc w:val="left"/>
            </w:pPr>
            <w:r>
              <w:rPr>
                <w:b/>
                <w:sz w:val="18"/>
              </w:rPr>
              <w:t xml:space="preserve">Numer Zamówienia (wypełnia </w:t>
            </w:r>
          </w:p>
          <w:p w14:paraId="69A6D655" w14:textId="77777777" w:rsidR="007D7613" w:rsidRDefault="00B26280">
            <w:pPr>
              <w:spacing w:after="0" w:line="259" w:lineRule="auto"/>
              <w:ind w:left="358" w:firstLine="0"/>
              <w:jc w:val="left"/>
            </w:pPr>
            <w:r>
              <w:rPr>
                <w:b/>
                <w:sz w:val="18"/>
              </w:rPr>
              <w:t xml:space="preserve">OSD) </w:t>
            </w:r>
          </w:p>
        </w:tc>
        <w:tc>
          <w:tcPr>
            <w:tcW w:w="6239" w:type="dxa"/>
            <w:tcBorders>
              <w:top w:val="single" w:sz="4" w:space="0" w:color="000000"/>
              <w:left w:val="single" w:sz="4" w:space="0" w:color="000000"/>
              <w:bottom w:val="single" w:sz="4" w:space="0" w:color="000000"/>
              <w:right w:val="single" w:sz="4" w:space="0" w:color="000000"/>
            </w:tcBorders>
            <w:vAlign w:val="center"/>
          </w:tcPr>
          <w:p w14:paraId="4079789C" w14:textId="77777777" w:rsidR="007D7613" w:rsidRDefault="00B26280">
            <w:pPr>
              <w:spacing w:after="0" w:line="259" w:lineRule="auto"/>
              <w:ind w:left="2" w:firstLine="0"/>
              <w:jc w:val="left"/>
            </w:pPr>
            <w:r>
              <w:rPr>
                <w:sz w:val="18"/>
              </w:rPr>
              <w:t xml:space="preserve"> </w:t>
            </w:r>
          </w:p>
        </w:tc>
      </w:tr>
    </w:tbl>
    <w:p w14:paraId="2BAC0AF9" w14:textId="4A47857F" w:rsidR="007D7613" w:rsidRDefault="007D7613">
      <w:pPr>
        <w:spacing w:after="78" w:line="259" w:lineRule="auto"/>
        <w:ind w:left="0" w:firstLine="0"/>
        <w:jc w:val="left"/>
      </w:pPr>
    </w:p>
    <w:p w14:paraId="022DB453" w14:textId="77777777" w:rsidR="007D7613" w:rsidRDefault="00B26280">
      <w:pPr>
        <w:pStyle w:val="Nagwek2"/>
        <w:ind w:left="-5"/>
      </w:pPr>
      <w:r>
        <w:rPr>
          <w:sz w:val="20"/>
        </w:rPr>
        <w:t xml:space="preserve">1. </w:t>
      </w:r>
      <w:r>
        <w:t xml:space="preserve">Dane OK </w:t>
      </w:r>
    </w:p>
    <w:tbl>
      <w:tblPr>
        <w:tblStyle w:val="TableGrid"/>
        <w:tblW w:w="9064" w:type="dxa"/>
        <w:tblInd w:w="5" w:type="dxa"/>
        <w:tblCellMar>
          <w:top w:w="40" w:type="dxa"/>
          <w:left w:w="110" w:type="dxa"/>
          <w:bottom w:w="0" w:type="dxa"/>
          <w:right w:w="115" w:type="dxa"/>
        </w:tblCellMar>
        <w:tblLook w:val="04A0" w:firstRow="1" w:lastRow="0" w:firstColumn="1" w:lastColumn="0" w:noHBand="0" w:noVBand="1"/>
      </w:tblPr>
      <w:tblGrid>
        <w:gridCol w:w="2972"/>
        <w:gridCol w:w="6092"/>
      </w:tblGrid>
      <w:tr w:rsidR="007D7613" w14:paraId="7BED6F33" w14:textId="77777777">
        <w:trPr>
          <w:trHeight w:val="859"/>
        </w:trPr>
        <w:tc>
          <w:tcPr>
            <w:tcW w:w="2972" w:type="dxa"/>
            <w:tcBorders>
              <w:top w:val="single" w:sz="4" w:space="0" w:color="000000"/>
              <w:left w:val="single" w:sz="4" w:space="0" w:color="000000"/>
              <w:bottom w:val="single" w:sz="4" w:space="0" w:color="000000"/>
              <w:right w:val="single" w:sz="4" w:space="0" w:color="000000"/>
            </w:tcBorders>
            <w:vAlign w:val="center"/>
          </w:tcPr>
          <w:p w14:paraId="2E6B7AAB" w14:textId="77777777" w:rsidR="007D7613" w:rsidRDefault="00B26280">
            <w:pPr>
              <w:spacing w:after="0" w:line="259" w:lineRule="auto"/>
              <w:ind w:left="0" w:firstLine="0"/>
              <w:jc w:val="left"/>
            </w:pPr>
            <w:r>
              <w:rPr>
                <w:b/>
                <w:sz w:val="18"/>
              </w:rPr>
              <w:t>Nazwa firmy/ Imię nazwisko</w:t>
            </w:r>
            <w:r>
              <w:rPr>
                <w:sz w:val="18"/>
              </w:rPr>
              <w:t xml:space="preserve"> </w:t>
            </w:r>
          </w:p>
        </w:tc>
        <w:tc>
          <w:tcPr>
            <w:tcW w:w="6092" w:type="dxa"/>
            <w:tcBorders>
              <w:top w:val="single" w:sz="4" w:space="0" w:color="000000"/>
              <w:left w:val="single" w:sz="4" w:space="0" w:color="000000"/>
              <w:bottom w:val="single" w:sz="4" w:space="0" w:color="000000"/>
              <w:right w:val="single" w:sz="4" w:space="0" w:color="000000"/>
            </w:tcBorders>
            <w:vAlign w:val="center"/>
          </w:tcPr>
          <w:p w14:paraId="6C4DB389" w14:textId="77777777" w:rsidR="007D7613" w:rsidRDefault="00B26280">
            <w:pPr>
              <w:spacing w:after="0" w:line="259" w:lineRule="auto"/>
              <w:ind w:left="0" w:firstLine="0"/>
              <w:jc w:val="left"/>
            </w:pPr>
            <w:r>
              <w:rPr>
                <w:sz w:val="18"/>
              </w:rPr>
              <w:t xml:space="preserve"> </w:t>
            </w:r>
          </w:p>
        </w:tc>
      </w:tr>
      <w:tr w:rsidR="007D7613" w14:paraId="54A30240" w14:textId="77777777">
        <w:trPr>
          <w:trHeight w:val="769"/>
        </w:trPr>
        <w:tc>
          <w:tcPr>
            <w:tcW w:w="2972" w:type="dxa"/>
            <w:tcBorders>
              <w:top w:val="single" w:sz="4" w:space="0" w:color="000000"/>
              <w:left w:val="single" w:sz="4" w:space="0" w:color="000000"/>
              <w:bottom w:val="single" w:sz="4" w:space="0" w:color="000000"/>
              <w:right w:val="single" w:sz="4" w:space="0" w:color="000000"/>
            </w:tcBorders>
            <w:vAlign w:val="center"/>
          </w:tcPr>
          <w:p w14:paraId="5ECFEF09" w14:textId="77777777" w:rsidR="007D7613" w:rsidRDefault="00B26280">
            <w:pPr>
              <w:spacing w:after="0" w:line="259" w:lineRule="auto"/>
              <w:ind w:left="0" w:firstLine="0"/>
              <w:jc w:val="left"/>
            </w:pPr>
            <w:r>
              <w:rPr>
                <w:b/>
                <w:sz w:val="18"/>
              </w:rPr>
              <w:t xml:space="preserve">Numer Umowy Ramowej </w:t>
            </w:r>
          </w:p>
        </w:tc>
        <w:tc>
          <w:tcPr>
            <w:tcW w:w="6092" w:type="dxa"/>
            <w:tcBorders>
              <w:top w:val="single" w:sz="4" w:space="0" w:color="000000"/>
              <w:left w:val="single" w:sz="4" w:space="0" w:color="000000"/>
              <w:bottom w:val="single" w:sz="4" w:space="0" w:color="000000"/>
              <w:right w:val="single" w:sz="4" w:space="0" w:color="000000"/>
            </w:tcBorders>
            <w:vAlign w:val="center"/>
          </w:tcPr>
          <w:p w14:paraId="6A1221AE" w14:textId="77777777" w:rsidR="007D7613" w:rsidRDefault="00B26280">
            <w:pPr>
              <w:spacing w:after="0" w:line="259" w:lineRule="auto"/>
              <w:ind w:left="0" w:firstLine="0"/>
              <w:jc w:val="left"/>
            </w:pPr>
            <w:r>
              <w:rPr>
                <w:sz w:val="18"/>
              </w:rPr>
              <w:t xml:space="preserve"> </w:t>
            </w:r>
          </w:p>
        </w:tc>
      </w:tr>
      <w:tr w:rsidR="007D7613" w14:paraId="0DDBA526" w14:textId="77777777">
        <w:trPr>
          <w:trHeight w:val="1087"/>
        </w:trPr>
        <w:tc>
          <w:tcPr>
            <w:tcW w:w="2972" w:type="dxa"/>
            <w:tcBorders>
              <w:top w:val="single" w:sz="4" w:space="0" w:color="000000"/>
              <w:left w:val="single" w:sz="4" w:space="0" w:color="000000"/>
              <w:bottom w:val="single" w:sz="4" w:space="0" w:color="000000"/>
              <w:right w:val="single" w:sz="4" w:space="0" w:color="000000"/>
            </w:tcBorders>
            <w:vAlign w:val="center"/>
          </w:tcPr>
          <w:p w14:paraId="0C9A3CA0" w14:textId="77777777" w:rsidR="007D7613" w:rsidRDefault="00B26280">
            <w:pPr>
              <w:spacing w:after="0" w:line="259" w:lineRule="auto"/>
              <w:ind w:left="0" w:firstLine="0"/>
              <w:jc w:val="left"/>
            </w:pPr>
            <w:r>
              <w:rPr>
                <w:b/>
                <w:sz w:val="18"/>
              </w:rPr>
              <w:t xml:space="preserve">Rodzaj Zamówienia </w:t>
            </w:r>
          </w:p>
        </w:tc>
        <w:tc>
          <w:tcPr>
            <w:tcW w:w="6092" w:type="dxa"/>
            <w:tcBorders>
              <w:top w:val="single" w:sz="4" w:space="0" w:color="000000"/>
              <w:left w:val="single" w:sz="4" w:space="0" w:color="000000"/>
              <w:bottom w:val="single" w:sz="4" w:space="0" w:color="000000"/>
              <w:right w:val="single" w:sz="4" w:space="0" w:color="000000"/>
            </w:tcBorders>
          </w:tcPr>
          <w:p w14:paraId="141484C5" w14:textId="77777777" w:rsidR="007D7613" w:rsidRDefault="00B26280">
            <w:pPr>
              <w:numPr>
                <w:ilvl w:val="0"/>
                <w:numId w:val="8"/>
              </w:numPr>
              <w:spacing w:after="76" w:line="259" w:lineRule="auto"/>
              <w:ind w:hanging="211"/>
              <w:jc w:val="left"/>
            </w:pPr>
            <w:r>
              <w:rPr>
                <w:sz w:val="18"/>
              </w:rPr>
              <w:t xml:space="preserve">Uruchomienie Usługi  </w:t>
            </w:r>
          </w:p>
          <w:p w14:paraId="72362758" w14:textId="77777777" w:rsidR="007D7613" w:rsidRDefault="00B26280">
            <w:pPr>
              <w:numPr>
                <w:ilvl w:val="0"/>
                <w:numId w:val="8"/>
              </w:numPr>
              <w:spacing w:after="77" w:line="259" w:lineRule="auto"/>
              <w:ind w:hanging="211"/>
              <w:jc w:val="left"/>
            </w:pPr>
            <w:r>
              <w:rPr>
                <w:sz w:val="18"/>
              </w:rPr>
              <w:t xml:space="preserve">Modyfikacja Zamówienia Usługi  </w:t>
            </w:r>
          </w:p>
          <w:p w14:paraId="22905A80" w14:textId="77777777" w:rsidR="007D7613" w:rsidRDefault="00B26280">
            <w:pPr>
              <w:numPr>
                <w:ilvl w:val="0"/>
                <w:numId w:val="8"/>
              </w:numPr>
              <w:spacing w:after="78" w:line="259" w:lineRule="auto"/>
              <w:ind w:hanging="211"/>
              <w:jc w:val="left"/>
            </w:pPr>
            <w:r>
              <w:rPr>
                <w:sz w:val="18"/>
              </w:rPr>
              <w:t xml:space="preserve">Rezygnacja z Usługi (dotyczy adresu świadczenia Usługi) </w:t>
            </w:r>
          </w:p>
          <w:p w14:paraId="16EC99F9" w14:textId="77777777" w:rsidR="007D7613" w:rsidRDefault="00B26280">
            <w:pPr>
              <w:numPr>
                <w:ilvl w:val="0"/>
                <w:numId w:val="8"/>
              </w:numPr>
              <w:spacing w:after="0" w:line="259" w:lineRule="auto"/>
              <w:ind w:hanging="211"/>
              <w:jc w:val="left"/>
            </w:pPr>
            <w:r>
              <w:rPr>
                <w:sz w:val="18"/>
              </w:rPr>
              <w:t xml:space="preserve">Zmiana Dostawcy </w:t>
            </w:r>
          </w:p>
        </w:tc>
      </w:tr>
    </w:tbl>
    <w:p w14:paraId="3E5B656B" w14:textId="77777777" w:rsidR="007D7613" w:rsidRDefault="00B26280">
      <w:pPr>
        <w:spacing w:after="107" w:line="259" w:lineRule="auto"/>
        <w:ind w:left="0" w:firstLine="0"/>
        <w:jc w:val="left"/>
      </w:pPr>
      <w:r>
        <w:rPr>
          <w:sz w:val="18"/>
        </w:rPr>
        <w:t xml:space="preserve"> </w:t>
      </w:r>
    </w:p>
    <w:p w14:paraId="534E7FB4" w14:textId="77777777" w:rsidR="007D7613" w:rsidRDefault="00B26280">
      <w:pPr>
        <w:pStyle w:val="Nagwek2"/>
        <w:ind w:left="-5"/>
      </w:pPr>
      <w:r>
        <w:rPr>
          <w:sz w:val="20"/>
        </w:rPr>
        <w:t xml:space="preserve">2. </w:t>
      </w:r>
      <w:r>
        <w:t xml:space="preserve">Parametry Usługi  </w:t>
      </w:r>
    </w:p>
    <w:tbl>
      <w:tblPr>
        <w:tblStyle w:val="TableGrid"/>
        <w:tblW w:w="9064" w:type="dxa"/>
        <w:tblInd w:w="5" w:type="dxa"/>
        <w:tblCellMar>
          <w:top w:w="5" w:type="dxa"/>
          <w:left w:w="0" w:type="dxa"/>
          <w:bottom w:w="0" w:type="dxa"/>
          <w:right w:w="0" w:type="dxa"/>
        </w:tblCellMar>
        <w:tblLook w:val="04A0" w:firstRow="1" w:lastRow="0" w:firstColumn="1" w:lastColumn="0" w:noHBand="0" w:noVBand="1"/>
      </w:tblPr>
      <w:tblGrid>
        <w:gridCol w:w="2937"/>
        <w:gridCol w:w="1448"/>
        <w:gridCol w:w="1595"/>
        <w:gridCol w:w="956"/>
        <w:gridCol w:w="2128"/>
      </w:tblGrid>
      <w:tr w:rsidR="007D7613" w14:paraId="38E880C4" w14:textId="77777777" w:rsidTr="00B26280">
        <w:trPr>
          <w:trHeight w:val="672"/>
        </w:trPr>
        <w:tc>
          <w:tcPr>
            <w:tcW w:w="2937" w:type="dxa"/>
            <w:tcBorders>
              <w:top w:val="single" w:sz="4" w:space="0" w:color="000000"/>
              <w:left w:val="single" w:sz="4" w:space="0" w:color="000000"/>
              <w:bottom w:val="single" w:sz="4" w:space="0" w:color="000000"/>
              <w:right w:val="single" w:sz="4" w:space="0" w:color="000000"/>
            </w:tcBorders>
            <w:vAlign w:val="center"/>
          </w:tcPr>
          <w:p w14:paraId="05860153" w14:textId="77777777" w:rsidR="007D7613" w:rsidRDefault="00B26280">
            <w:pPr>
              <w:spacing w:after="0" w:line="259" w:lineRule="auto"/>
              <w:ind w:left="110" w:firstLine="0"/>
              <w:jc w:val="left"/>
            </w:pPr>
            <w:r>
              <w:rPr>
                <w:sz w:val="18"/>
              </w:rPr>
              <w:t xml:space="preserve">Adres świadczenia Usługi  </w:t>
            </w:r>
          </w:p>
        </w:tc>
        <w:tc>
          <w:tcPr>
            <w:tcW w:w="3043" w:type="dxa"/>
            <w:gridSpan w:val="2"/>
            <w:tcBorders>
              <w:top w:val="single" w:sz="4" w:space="0" w:color="000000"/>
              <w:left w:val="single" w:sz="4" w:space="0" w:color="000000"/>
              <w:bottom w:val="single" w:sz="4" w:space="0" w:color="000000"/>
              <w:right w:val="nil"/>
            </w:tcBorders>
          </w:tcPr>
          <w:p w14:paraId="00ED73F8" w14:textId="77777777" w:rsidR="007D7613" w:rsidRDefault="007D7613">
            <w:pPr>
              <w:spacing w:after="160" w:line="259" w:lineRule="auto"/>
              <w:ind w:left="0" w:firstLine="0"/>
              <w:jc w:val="left"/>
            </w:pPr>
          </w:p>
        </w:tc>
        <w:tc>
          <w:tcPr>
            <w:tcW w:w="3084" w:type="dxa"/>
            <w:gridSpan w:val="2"/>
            <w:tcBorders>
              <w:top w:val="single" w:sz="4" w:space="0" w:color="000000"/>
              <w:left w:val="nil"/>
              <w:bottom w:val="single" w:sz="4" w:space="0" w:color="000000"/>
              <w:right w:val="single" w:sz="4" w:space="0" w:color="000000"/>
            </w:tcBorders>
            <w:vAlign w:val="center"/>
          </w:tcPr>
          <w:p w14:paraId="3086A804" w14:textId="77777777" w:rsidR="007D7613" w:rsidRDefault="00B26280">
            <w:pPr>
              <w:spacing w:after="0" w:line="259" w:lineRule="auto"/>
              <w:ind w:left="67" w:firstLine="0"/>
              <w:jc w:val="left"/>
            </w:pPr>
            <w:r>
              <w:rPr>
                <w:sz w:val="18"/>
              </w:rPr>
              <w:t xml:space="preserve"> </w:t>
            </w:r>
          </w:p>
        </w:tc>
      </w:tr>
      <w:tr w:rsidR="007D7613" w14:paraId="0BDED9F0" w14:textId="77777777" w:rsidTr="00B26280">
        <w:trPr>
          <w:trHeight w:val="583"/>
        </w:trPr>
        <w:tc>
          <w:tcPr>
            <w:tcW w:w="2937" w:type="dxa"/>
            <w:tcBorders>
              <w:top w:val="single" w:sz="4" w:space="0" w:color="000000"/>
              <w:left w:val="single" w:sz="4" w:space="0" w:color="000000"/>
              <w:bottom w:val="single" w:sz="4" w:space="0" w:color="000000"/>
              <w:right w:val="single" w:sz="4" w:space="0" w:color="000000"/>
            </w:tcBorders>
            <w:vAlign w:val="center"/>
          </w:tcPr>
          <w:p w14:paraId="4AA09FFA" w14:textId="77777777" w:rsidR="007D7613" w:rsidRDefault="00B26280">
            <w:pPr>
              <w:spacing w:after="0" w:line="259" w:lineRule="auto"/>
              <w:ind w:left="110" w:firstLine="0"/>
              <w:jc w:val="left"/>
            </w:pPr>
            <w:r>
              <w:rPr>
                <w:sz w:val="18"/>
              </w:rPr>
              <w:t xml:space="preserve">Lokalizacja PDU </w:t>
            </w:r>
          </w:p>
        </w:tc>
        <w:tc>
          <w:tcPr>
            <w:tcW w:w="3043" w:type="dxa"/>
            <w:gridSpan w:val="2"/>
            <w:tcBorders>
              <w:top w:val="single" w:sz="4" w:space="0" w:color="000000"/>
              <w:left w:val="single" w:sz="4" w:space="0" w:color="000000"/>
              <w:bottom w:val="single" w:sz="4" w:space="0" w:color="000000"/>
              <w:right w:val="nil"/>
            </w:tcBorders>
          </w:tcPr>
          <w:p w14:paraId="0F2627F8" w14:textId="77777777" w:rsidR="007D7613" w:rsidRDefault="007D7613">
            <w:pPr>
              <w:spacing w:after="160" w:line="259" w:lineRule="auto"/>
              <w:ind w:left="0" w:firstLine="0"/>
              <w:jc w:val="left"/>
            </w:pPr>
          </w:p>
        </w:tc>
        <w:tc>
          <w:tcPr>
            <w:tcW w:w="3084" w:type="dxa"/>
            <w:gridSpan w:val="2"/>
            <w:tcBorders>
              <w:top w:val="single" w:sz="4" w:space="0" w:color="000000"/>
              <w:left w:val="nil"/>
              <w:bottom w:val="single" w:sz="4" w:space="0" w:color="000000"/>
              <w:right w:val="single" w:sz="4" w:space="0" w:color="000000"/>
            </w:tcBorders>
            <w:vAlign w:val="center"/>
          </w:tcPr>
          <w:p w14:paraId="45D80905" w14:textId="77777777" w:rsidR="007D7613" w:rsidRDefault="00B26280">
            <w:pPr>
              <w:spacing w:after="0" w:line="259" w:lineRule="auto"/>
              <w:ind w:left="67" w:firstLine="0"/>
              <w:jc w:val="left"/>
            </w:pPr>
            <w:r>
              <w:rPr>
                <w:sz w:val="18"/>
              </w:rPr>
              <w:t xml:space="preserve"> </w:t>
            </w:r>
          </w:p>
        </w:tc>
      </w:tr>
      <w:tr w:rsidR="007D7613" w:rsidRPr="00303633" w14:paraId="218B0738" w14:textId="77777777" w:rsidTr="00B26280">
        <w:trPr>
          <w:trHeight w:val="713"/>
        </w:trPr>
        <w:tc>
          <w:tcPr>
            <w:tcW w:w="2937" w:type="dxa"/>
            <w:tcBorders>
              <w:top w:val="single" w:sz="4" w:space="0" w:color="000000"/>
              <w:left w:val="single" w:sz="4" w:space="0" w:color="000000"/>
              <w:bottom w:val="single" w:sz="4" w:space="0" w:color="000000"/>
              <w:right w:val="single" w:sz="4" w:space="0" w:color="000000"/>
            </w:tcBorders>
            <w:vAlign w:val="center"/>
          </w:tcPr>
          <w:p w14:paraId="7F5B8CD9" w14:textId="77777777" w:rsidR="007D7613" w:rsidRDefault="00B26280">
            <w:pPr>
              <w:spacing w:after="0" w:line="259" w:lineRule="auto"/>
              <w:ind w:left="110" w:firstLine="0"/>
              <w:jc w:val="left"/>
            </w:pPr>
            <w:r>
              <w:rPr>
                <w:sz w:val="18"/>
              </w:rPr>
              <w:t xml:space="preserve">Okres świadczenia Usługi  </w:t>
            </w:r>
          </w:p>
        </w:tc>
        <w:tc>
          <w:tcPr>
            <w:tcW w:w="1448" w:type="dxa"/>
            <w:tcBorders>
              <w:top w:val="single" w:sz="4" w:space="0" w:color="000000"/>
              <w:left w:val="single" w:sz="4" w:space="0" w:color="000000"/>
              <w:bottom w:val="single" w:sz="4" w:space="0" w:color="000000"/>
              <w:right w:val="single" w:sz="4" w:space="0" w:color="000000"/>
            </w:tcBorders>
            <w:vAlign w:val="center"/>
          </w:tcPr>
          <w:p w14:paraId="763757AA" w14:textId="08FE2C48" w:rsidR="007D7613" w:rsidRPr="00303633" w:rsidRDefault="00303633" w:rsidP="00303633">
            <w:pPr>
              <w:pStyle w:val="Akapitzlist"/>
              <w:numPr>
                <w:ilvl w:val="0"/>
                <w:numId w:val="9"/>
              </w:numPr>
              <w:spacing w:after="0" w:line="259" w:lineRule="auto"/>
              <w:jc w:val="center"/>
              <w:rPr>
                <w:sz w:val="18"/>
                <w:szCs w:val="18"/>
              </w:rPr>
            </w:pPr>
            <w:r w:rsidRPr="00303633">
              <w:rPr>
                <w:sz w:val="18"/>
                <w:szCs w:val="18"/>
              </w:rPr>
              <w:t>12 miesięcy</w:t>
            </w:r>
            <w:r w:rsidR="00B26280">
              <w:rPr>
                <w:sz w:val="18"/>
                <w:szCs w:val="18"/>
              </w:rPr>
              <w:t xml:space="preserve"> </w:t>
            </w:r>
          </w:p>
        </w:tc>
        <w:tc>
          <w:tcPr>
            <w:tcW w:w="1595" w:type="dxa"/>
            <w:tcBorders>
              <w:top w:val="single" w:sz="4" w:space="0" w:color="000000"/>
              <w:left w:val="single" w:sz="4" w:space="0" w:color="000000"/>
              <w:bottom w:val="single" w:sz="4" w:space="0" w:color="000000"/>
              <w:right w:val="nil"/>
            </w:tcBorders>
            <w:vAlign w:val="center"/>
          </w:tcPr>
          <w:p w14:paraId="442B1842" w14:textId="4A2934C3" w:rsidR="007D7613" w:rsidRPr="00303633" w:rsidRDefault="00303633" w:rsidP="00303633">
            <w:pPr>
              <w:pStyle w:val="Akapitzlist"/>
              <w:numPr>
                <w:ilvl w:val="0"/>
                <w:numId w:val="9"/>
              </w:numPr>
              <w:spacing w:after="0" w:line="259" w:lineRule="auto"/>
              <w:ind w:right="45"/>
              <w:jc w:val="center"/>
              <w:rPr>
                <w:sz w:val="18"/>
                <w:szCs w:val="18"/>
              </w:rPr>
            </w:pPr>
            <w:r w:rsidRPr="00303633">
              <w:rPr>
                <w:sz w:val="18"/>
                <w:szCs w:val="18"/>
              </w:rPr>
              <w:t>24 miesiące</w:t>
            </w:r>
          </w:p>
        </w:tc>
        <w:tc>
          <w:tcPr>
            <w:tcW w:w="956" w:type="dxa"/>
            <w:tcBorders>
              <w:top w:val="single" w:sz="4" w:space="0" w:color="000000"/>
              <w:left w:val="nil"/>
              <w:bottom w:val="single" w:sz="4" w:space="0" w:color="000000"/>
              <w:right w:val="single" w:sz="4" w:space="0" w:color="000000"/>
            </w:tcBorders>
            <w:vAlign w:val="center"/>
          </w:tcPr>
          <w:p w14:paraId="444E6D6C" w14:textId="1CA8DC4C" w:rsidR="007D7613" w:rsidRPr="00303633" w:rsidRDefault="007D7613" w:rsidP="00303633">
            <w:pPr>
              <w:spacing w:after="0" w:line="259" w:lineRule="auto"/>
              <w:ind w:left="0" w:firstLine="0"/>
              <w:jc w:val="left"/>
              <w:rPr>
                <w:sz w:val="18"/>
                <w:szCs w:val="18"/>
              </w:rPr>
            </w:pPr>
          </w:p>
        </w:tc>
        <w:tc>
          <w:tcPr>
            <w:tcW w:w="2128" w:type="dxa"/>
            <w:tcBorders>
              <w:top w:val="single" w:sz="4" w:space="0" w:color="000000"/>
              <w:left w:val="single" w:sz="4" w:space="0" w:color="000000"/>
              <w:bottom w:val="single" w:sz="4" w:space="0" w:color="000000"/>
              <w:right w:val="single" w:sz="4" w:space="0" w:color="000000"/>
            </w:tcBorders>
            <w:vAlign w:val="center"/>
          </w:tcPr>
          <w:p w14:paraId="0FC8B316" w14:textId="032B27DC" w:rsidR="007D7613" w:rsidRPr="00303633" w:rsidRDefault="00303633" w:rsidP="00303633">
            <w:pPr>
              <w:pStyle w:val="Akapitzlist"/>
              <w:numPr>
                <w:ilvl w:val="0"/>
                <w:numId w:val="9"/>
              </w:numPr>
              <w:spacing w:after="0" w:line="259" w:lineRule="auto"/>
              <w:ind w:right="3"/>
              <w:jc w:val="center"/>
              <w:rPr>
                <w:sz w:val="18"/>
                <w:szCs w:val="18"/>
              </w:rPr>
            </w:pPr>
            <w:r w:rsidRPr="00303633">
              <w:rPr>
                <w:sz w:val="18"/>
                <w:szCs w:val="18"/>
              </w:rPr>
              <w:t>Czas nieokreślony</w:t>
            </w:r>
          </w:p>
        </w:tc>
      </w:tr>
      <w:tr w:rsidR="007D7613" w14:paraId="361BFBCA" w14:textId="77777777" w:rsidTr="00B26280">
        <w:trPr>
          <w:trHeight w:val="403"/>
        </w:trPr>
        <w:tc>
          <w:tcPr>
            <w:tcW w:w="2937" w:type="dxa"/>
            <w:tcBorders>
              <w:top w:val="single" w:sz="4" w:space="0" w:color="000000"/>
              <w:left w:val="single" w:sz="4" w:space="0" w:color="000000"/>
              <w:bottom w:val="single" w:sz="4" w:space="0" w:color="000000"/>
              <w:right w:val="single" w:sz="4" w:space="0" w:color="000000"/>
            </w:tcBorders>
            <w:vAlign w:val="center"/>
          </w:tcPr>
          <w:p w14:paraId="6DA0B9F8" w14:textId="77777777" w:rsidR="007D7613" w:rsidRDefault="00B26280">
            <w:pPr>
              <w:spacing w:after="0" w:line="259" w:lineRule="auto"/>
              <w:ind w:left="110" w:firstLine="0"/>
              <w:jc w:val="left"/>
            </w:pPr>
            <w:r>
              <w:rPr>
                <w:sz w:val="18"/>
              </w:rPr>
              <w:t xml:space="preserve">Przepustowość </w:t>
            </w:r>
          </w:p>
        </w:tc>
        <w:tc>
          <w:tcPr>
            <w:tcW w:w="3043" w:type="dxa"/>
            <w:gridSpan w:val="2"/>
            <w:tcBorders>
              <w:top w:val="single" w:sz="4" w:space="0" w:color="000000"/>
              <w:left w:val="single" w:sz="4" w:space="0" w:color="000000"/>
              <w:bottom w:val="single" w:sz="4" w:space="0" w:color="000000"/>
              <w:right w:val="nil"/>
            </w:tcBorders>
            <w:vAlign w:val="center"/>
          </w:tcPr>
          <w:tbl>
            <w:tblPr>
              <w:tblStyle w:val="TableGrid"/>
              <w:tblpPr w:vertAnchor="text" w:tblpX="1277" w:tblpY="62"/>
              <w:tblOverlap w:val="never"/>
              <w:tblW w:w="1049" w:type="dxa"/>
              <w:tblInd w:w="0" w:type="dxa"/>
              <w:tblCellMar>
                <w:top w:w="37" w:type="dxa"/>
                <w:left w:w="0" w:type="dxa"/>
                <w:bottom w:w="0" w:type="dxa"/>
                <w:right w:w="1" w:type="dxa"/>
              </w:tblCellMar>
              <w:tblLook w:val="04A0" w:firstRow="1" w:lastRow="0" w:firstColumn="1" w:lastColumn="0" w:noHBand="0" w:noVBand="1"/>
            </w:tblPr>
            <w:tblGrid>
              <w:gridCol w:w="1052"/>
            </w:tblGrid>
            <w:tr w:rsidR="007D7613" w14:paraId="30D53E0C" w14:textId="77777777">
              <w:trPr>
                <w:trHeight w:val="206"/>
              </w:trPr>
              <w:tc>
                <w:tcPr>
                  <w:tcW w:w="1049" w:type="dxa"/>
                  <w:tcBorders>
                    <w:top w:val="nil"/>
                    <w:left w:val="nil"/>
                    <w:bottom w:val="nil"/>
                    <w:right w:val="nil"/>
                  </w:tcBorders>
                  <w:shd w:val="clear" w:color="auto" w:fill="FFFF00"/>
                </w:tcPr>
                <w:p w14:paraId="4A0B5C00" w14:textId="77777777" w:rsidR="007D7613" w:rsidRDefault="00B26280">
                  <w:pPr>
                    <w:spacing w:after="0" w:line="259" w:lineRule="auto"/>
                    <w:ind w:left="0" w:firstLine="0"/>
                  </w:pPr>
                  <w:r>
                    <w:rPr>
                      <w:sz w:val="18"/>
                    </w:rPr>
                    <w:t>……….……..</w:t>
                  </w:r>
                </w:p>
              </w:tc>
            </w:tr>
          </w:tbl>
          <w:p w14:paraId="7FBA2839" w14:textId="77777777" w:rsidR="007D7613" w:rsidRDefault="00B26280">
            <w:pPr>
              <w:tabs>
                <w:tab w:val="right" w:pos="2979"/>
              </w:tabs>
              <w:spacing w:after="0" w:line="259" w:lineRule="auto"/>
              <w:ind w:left="0" w:right="-5" w:firstLine="0"/>
              <w:jc w:val="left"/>
            </w:pPr>
            <w:proofErr w:type="spellStart"/>
            <w:r>
              <w:rPr>
                <w:sz w:val="18"/>
              </w:rPr>
              <w:t>Downstream</w:t>
            </w:r>
            <w:proofErr w:type="spellEnd"/>
            <w:r>
              <w:rPr>
                <w:sz w:val="18"/>
              </w:rPr>
              <w:t xml:space="preserve">: </w:t>
            </w:r>
            <w:r>
              <w:rPr>
                <w:sz w:val="18"/>
              </w:rPr>
              <w:tab/>
              <w:t xml:space="preserve"> Mbps </w:t>
            </w:r>
            <w:r>
              <w:rPr>
                <w:rFonts w:ascii="Calibri" w:eastAsia="Calibri" w:hAnsi="Calibri" w:cs="Calibri"/>
                <w:noProof/>
                <w:sz w:val="22"/>
              </w:rPr>
              <mc:AlternateContent>
                <mc:Choice Requires="wpg">
                  <w:drawing>
                    <wp:inline distT="0" distB="0" distL="0" distR="0" wp14:anchorId="26B52FC8" wp14:editId="0FF6E414">
                      <wp:extent cx="6096" cy="249936"/>
                      <wp:effectExtent l="0" t="0" r="0" b="0"/>
                      <wp:docPr id="13300" name="Group 13300"/>
                      <wp:cNvGraphicFramePr/>
                      <a:graphic xmlns:a="http://schemas.openxmlformats.org/drawingml/2006/main">
                        <a:graphicData uri="http://schemas.microsoft.com/office/word/2010/wordprocessingGroup">
                          <wpg:wgp>
                            <wpg:cNvGrpSpPr/>
                            <wpg:grpSpPr>
                              <a:xfrm>
                                <a:off x="0" y="0"/>
                                <a:ext cx="6096" cy="249936"/>
                                <a:chOff x="0" y="0"/>
                                <a:chExt cx="6096" cy="249936"/>
                              </a:xfrm>
                            </wpg:grpSpPr>
                            <wps:wsp>
                              <wps:cNvPr id="15152" name="Shape 15152"/>
                              <wps:cNvSpPr/>
                              <wps:spPr>
                                <a:xfrm>
                                  <a:off x="0" y="0"/>
                                  <a:ext cx="9144" cy="249936"/>
                                </a:xfrm>
                                <a:custGeom>
                                  <a:avLst/>
                                  <a:gdLst/>
                                  <a:ahLst/>
                                  <a:cxnLst/>
                                  <a:rect l="0" t="0" r="0" b="0"/>
                                  <a:pathLst>
                                    <a:path w="9144" h="249936">
                                      <a:moveTo>
                                        <a:pt x="0" y="0"/>
                                      </a:moveTo>
                                      <a:lnTo>
                                        <a:pt x="9144" y="0"/>
                                      </a:lnTo>
                                      <a:lnTo>
                                        <a:pt x="9144" y="249936"/>
                                      </a:lnTo>
                                      <a:lnTo>
                                        <a:pt x="0" y="2499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3300" style="width:0.480011pt;height:19.68pt;mso-position-horizontal-relative:char;mso-position-vertical-relative:line" coordsize="60,2499">
                      <v:shape id="Shape 15153" style="position:absolute;width:91;height:2499;left:0;top:0;" coordsize="9144,249936" path="m0,0l9144,0l9144,249936l0,249936l0,0">
                        <v:stroke weight="0pt" endcap="flat" joinstyle="miter" miterlimit="10" on="false" color="#000000" opacity="0"/>
                        <v:fill on="true" color="#000000"/>
                      </v:shape>
                    </v:group>
                  </w:pict>
                </mc:Fallback>
              </mc:AlternateContent>
            </w:r>
          </w:p>
        </w:tc>
        <w:tc>
          <w:tcPr>
            <w:tcW w:w="3084" w:type="dxa"/>
            <w:gridSpan w:val="2"/>
            <w:tcBorders>
              <w:top w:val="single" w:sz="4" w:space="0" w:color="000000"/>
              <w:left w:val="nil"/>
              <w:bottom w:val="single" w:sz="4" w:space="0" w:color="000000"/>
              <w:right w:val="single" w:sz="4" w:space="0" w:color="000000"/>
            </w:tcBorders>
            <w:vAlign w:val="center"/>
          </w:tcPr>
          <w:p w14:paraId="23A6190E" w14:textId="77777777" w:rsidR="007D7613" w:rsidRDefault="00B26280">
            <w:pPr>
              <w:spacing w:after="0" w:line="259" w:lineRule="auto"/>
              <w:ind w:left="1" w:firstLine="0"/>
              <w:jc w:val="center"/>
            </w:pPr>
            <w:proofErr w:type="spellStart"/>
            <w:r>
              <w:rPr>
                <w:sz w:val="18"/>
              </w:rPr>
              <w:t>Upstream</w:t>
            </w:r>
            <w:proofErr w:type="spellEnd"/>
            <w:r>
              <w:rPr>
                <w:sz w:val="18"/>
              </w:rPr>
              <w:t xml:space="preserve">: </w:t>
            </w:r>
            <w:r>
              <w:rPr>
                <w:sz w:val="18"/>
                <w:shd w:val="clear" w:color="auto" w:fill="FFFF00"/>
              </w:rPr>
              <w:t>……….……..</w:t>
            </w:r>
            <w:r>
              <w:rPr>
                <w:sz w:val="18"/>
              </w:rPr>
              <w:t xml:space="preserve"> Mbps </w:t>
            </w:r>
          </w:p>
        </w:tc>
      </w:tr>
      <w:tr w:rsidR="007D7613" w14:paraId="0EBED86A" w14:textId="77777777" w:rsidTr="00B26280">
        <w:trPr>
          <w:trHeight w:val="576"/>
        </w:trPr>
        <w:tc>
          <w:tcPr>
            <w:tcW w:w="2937" w:type="dxa"/>
            <w:tcBorders>
              <w:top w:val="single" w:sz="4" w:space="0" w:color="000000"/>
              <w:left w:val="single" w:sz="4" w:space="0" w:color="000000"/>
              <w:bottom w:val="single" w:sz="4" w:space="0" w:color="000000"/>
              <w:right w:val="single" w:sz="4" w:space="0" w:color="000000"/>
            </w:tcBorders>
          </w:tcPr>
          <w:p w14:paraId="6A9735B8" w14:textId="77777777" w:rsidR="007D7613" w:rsidRDefault="00B26280">
            <w:pPr>
              <w:spacing w:after="0" w:line="259" w:lineRule="auto"/>
              <w:ind w:left="110" w:right="69" w:firstLine="0"/>
              <w:jc w:val="left"/>
            </w:pPr>
            <w:r>
              <w:rPr>
                <w:sz w:val="18"/>
              </w:rPr>
              <w:t xml:space="preserve">Wnioskowany termin uruchomienia Usługi  </w:t>
            </w:r>
          </w:p>
        </w:tc>
        <w:tc>
          <w:tcPr>
            <w:tcW w:w="3043" w:type="dxa"/>
            <w:gridSpan w:val="2"/>
            <w:tcBorders>
              <w:top w:val="single" w:sz="4" w:space="0" w:color="000000"/>
              <w:left w:val="single" w:sz="4" w:space="0" w:color="000000"/>
              <w:bottom w:val="single" w:sz="4" w:space="0" w:color="000000"/>
              <w:right w:val="nil"/>
            </w:tcBorders>
          </w:tcPr>
          <w:p w14:paraId="45F4BCAB" w14:textId="77777777" w:rsidR="007D7613" w:rsidRDefault="007D7613">
            <w:pPr>
              <w:spacing w:after="160" w:line="259" w:lineRule="auto"/>
              <w:ind w:left="0" w:firstLine="0"/>
              <w:jc w:val="left"/>
            </w:pPr>
          </w:p>
        </w:tc>
        <w:tc>
          <w:tcPr>
            <w:tcW w:w="3084" w:type="dxa"/>
            <w:gridSpan w:val="2"/>
            <w:tcBorders>
              <w:top w:val="single" w:sz="4" w:space="0" w:color="000000"/>
              <w:left w:val="nil"/>
              <w:bottom w:val="single" w:sz="4" w:space="0" w:color="000000"/>
              <w:right w:val="single" w:sz="4" w:space="0" w:color="000000"/>
            </w:tcBorders>
            <w:vAlign w:val="center"/>
          </w:tcPr>
          <w:p w14:paraId="58F6CA61" w14:textId="77777777" w:rsidR="007D7613" w:rsidRDefault="00B26280">
            <w:pPr>
              <w:spacing w:after="0" w:line="259" w:lineRule="auto"/>
              <w:ind w:left="67" w:firstLine="0"/>
              <w:jc w:val="left"/>
            </w:pPr>
            <w:r>
              <w:rPr>
                <w:sz w:val="18"/>
              </w:rPr>
              <w:t xml:space="preserve"> </w:t>
            </w:r>
          </w:p>
        </w:tc>
      </w:tr>
      <w:tr w:rsidR="007D7613" w14:paraId="7AE22F0C" w14:textId="77777777" w:rsidTr="00B26280">
        <w:trPr>
          <w:trHeight w:val="1894"/>
        </w:trPr>
        <w:tc>
          <w:tcPr>
            <w:tcW w:w="2937" w:type="dxa"/>
            <w:tcBorders>
              <w:top w:val="single" w:sz="4" w:space="0" w:color="000000"/>
              <w:left w:val="single" w:sz="4" w:space="0" w:color="000000"/>
              <w:bottom w:val="single" w:sz="4" w:space="0" w:color="000000"/>
              <w:right w:val="single" w:sz="4" w:space="0" w:color="000000"/>
            </w:tcBorders>
          </w:tcPr>
          <w:p w14:paraId="4A810092" w14:textId="77777777" w:rsidR="007D7613" w:rsidRDefault="00B26280">
            <w:pPr>
              <w:spacing w:after="45" w:line="259" w:lineRule="auto"/>
              <w:ind w:left="110" w:firstLine="0"/>
              <w:jc w:val="left"/>
            </w:pPr>
            <w:r>
              <w:rPr>
                <w:b/>
                <w:sz w:val="18"/>
              </w:rPr>
              <w:t xml:space="preserve">Dotyczy Zamówienia – Zmiana </w:t>
            </w:r>
          </w:p>
          <w:p w14:paraId="51FFC55E" w14:textId="77777777" w:rsidR="007D7613" w:rsidRDefault="00B26280">
            <w:pPr>
              <w:spacing w:after="30" w:line="312" w:lineRule="auto"/>
              <w:ind w:left="110" w:firstLine="0"/>
              <w:jc w:val="left"/>
            </w:pPr>
            <w:r>
              <w:rPr>
                <w:b/>
                <w:sz w:val="18"/>
              </w:rPr>
              <w:t>Dostawcy</w:t>
            </w:r>
            <w:r>
              <w:rPr>
                <w:sz w:val="18"/>
              </w:rPr>
              <w:t xml:space="preserve"> - </w:t>
            </w:r>
            <w:r>
              <w:rPr>
                <w:sz w:val="18"/>
              </w:rPr>
              <w:t xml:space="preserve">Termin realizacji Zamówienia zgodny z terminem przyłączenia Usługi Detalicznej wskazanym przez Abonenta (nie może to być dzień ustawowo </w:t>
            </w:r>
          </w:p>
          <w:p w14:paraId="5C43894E" w14:textId="77777777" w:rsidR="007D7613" w:rsidRDefault="00B26280">
            <w:pPr>
              <w:spacing w:after="0" w:line="259" w:lineRule="auto"/>
              <w:ind w:left="110" w:firstLine="0"/>
              <w:jc w:val="left"/>
            </w:pPr>
            <w:r>
              <w:rPr>
                <w:sz w:val="18"/>
              </w:rPr>
              <w:t xml:space="preserve">wolny od pracy) </w:t>
            </w:r>
          </w:p>
        </w:tc>
        <w:tc>
          <w:tcPr>
            <w:tcW w:w="3043" w:type="dxa"/>
            <w:gridSpan w:val="2"/>
            <w:tcBorders>
              <w:top w:val="single" w:sz="4" w:space="0" w:color="000000"/>
              <w:left w:val="single" w:sz="4" w:space="0" w:color="000000"/>
              <w:bottom w:val="single" w:sz="4" w:space="0" w:color="000000"/>
              <w:right w:val="nil"/>
            </w:tcBorders>
          </w:tcPr>
          <w:p w14:paraId="25F74D3B" w14:textId="77777777" w:rsidR="007D7613" w:rsidRDefault="007D7613">
            <w:pPr>
              <w:spacing w:after="160" w:line="259" w:lineRule="auto"/>
              <w:ind w:left="0" w:firstLine="0"/>
              <w:jc w:val="left"/>
            </w:pPr>
          </w:p>
        </w:tc>
        <w:tc>
          <w:tcPr>
            <w:tcW w:w="3084" w:type="dxa"/>
            <w:gridSpan w:val="2"/>
            <w:tcBorders>
              <w:top w:val="single" w:sz="4" w:space="0" w:color="000000"/>
              <w:left w:val="nil"/>
              <w:bottom w:val="single" w:sz="4" w:space="0" w:color="000000"/>
              <w:right w:val="single" w:sz="4" w:space="0" w:color="000000"/>
            </w:tcBorders>
            <w:vAlign w:val="center"/>
          </w:tcPr>
          <w:p w14:paraId="1B5A8662" w14:textId="77777777" w:rsidR="007D7613" w:rsidRDefault="00B26280">
            <w:pPr>
              <w:spacing w:after="0" w:line="259" w:lineRule="auto"/>
              <w:ind w:left="67" w:firstLine="0"/>
              <w:jc w:val="left"/>
            </w:pPr>
            <w:r>
              <w:rPr>
                <w:sz w:val="18"/>
              </w:rPr>
              <w:t xml:space="preserve"> </w:t>
            </w:r>
          </w:p>
        </w:tc>
      </w:tr>
      <w:tr w:rsidR="007D7613" w14:paraId="2C20A368" w14:textId="77777777" w:rsidTr="00B26280">
        <w:trPr>
          <w:trHeight w:val="470"/>
        </w:trPr>
        <w:tc>
          <w:tcPr>
            <w:tcW w:w="2937" w:type="dxa"/>
            <w:tcBorders>
              <w:top w:val="single" w:sz="4" w:space="0" w:color="000000"/>
              <w:left w:val="single" w:sz="4" w:space="0" w:color="000000"/>
              <w:bottom w:val="single" w:sz="4" w:space="0" w:color="000000"/>
              <w:right w:val="single" w:sz="4" w:space="0" w:color="000000"/>
            </w:tcBorders>
            <w:vAlign w:val="center"/>
          </w:tcPr>
          <w:p w14:paraId="5233CA35" w14:textId="77777777" w:rsidR="007D7613" w:rsidRDefault="00B26280">
            <w:pPr>
              <w:spacing w:after="0" w:line="259" w:lineRule="auto"/>
              <w:ind w:left="110" w:firstLine="0"/>
              <w:jc w:val="left"/>
            </w:pPr>
            <w:r>
              <w:rPr>
                <w:sz w:val="18"/>
              </w:rPr>
              <w:t xml:space="preserve">Własność ONT </w:t>
            </w:r>
          </w:p>
        </w:tc>
        <w:tc>
          <w:tcPr>
            <w:tcW w:w="3043" w:type="dxa"/>
            <w:gridSpan w:val="2"/>
            <w:tcBorders>
              <w:top w:val="single" w:sz="4" w:space="0" w:color="000000"/>
              <w:left w:val="single" w:sz="4" w:space="0" w:color="000000"/>
              <w:bottom w:val="single" w:sz="4" w:space="0" w:color="000000"/>
              <w:right w:val="single" w:sz="4" w:space="0" w:color="000000"/>
            </w:tcBorders>
            <w:vAlign w:val="center"/>
          </w:tcPr>
          <w:p w14:paraId="27E12DFE" w14:textId="29A4DC3E" w:rsidR="007D7613" w:rsidRDefault="00B26280" w:rsidP="00303633">
            <w:pPr>
              <w:pStyle w:val="Akapitzlist"/>
              <w:numPr>
                <w:ilvl w:val="0"/>
                <w:numId w:val="10"/>
              </w:numPr>
              <w:spacing w:after="0" w:line="259" w:lineRule="auto"/>
            </w:pPr>
            <w:r w:rsidRPr="00303633">
              <w:rPr>
                <w:sz w:val="18"/>
              </w:rPr>
              <w:t xml:space="preserve">OK </w:t>
            </w:r>
          </w:p>
        </w:tc>
        <w:tc>
          <w:tcPr>
            <w:tcW w:w="3084" w:type="dxa"/>
            <w:gridSpan w:val="2"/>
            <w:tcBorders>
              <w:top w:val="single" w:sz="4" w:space="0" w:color="000000"/>
              <w:left w:val="single" w:sz="4" w:space="0" w:color="000000"/>
              <w:bottom w:val="single" w:sz="4" w:space="0" w:color="000000"/>
              <w:right w:val="single" w:sz="4" w:space="0" w:color="000000"/>
            </w:tcBorders>
            <w:vAlign w:val="center"/>
          </w:tcPr>
          <w:p w14:paraId="04AE41D8" w14:textId="2BCC9331" w:rsidR="007D7613" w:rsidRDefault="00B26280" w:rsidP="00303633">
            <w:pPr>
              <w:pStyle w:val="Akapitzlist"/>
              <w:numPr>
                <w:ilvl w:val="0"/>
                <w:numId w:val="10"/>
              </w:numPr>
              <w:spacing w:after="0" w:line="259" w:lineRule="auto"/>
              <w:ind w:right="3"/>
            </w:pPr>
            <w:r w:rsidRPr="00303633">
              <w:rPr>
                <w:sz w:val="18"/>
              </w:rPr>
              <w:t xml:space="preserve">OSD </w:t>
            </w:r>
          </w:p>
        </w:tc>
      </w:tr>
      <w:tr w:rsidR="007D7613" w14:paraId="57E7D150" w14:textId="77777777" w:rsidTr="00B26280">
        <w:trPr>
          <w:trHeight w:val="1001"/>
        </w:trPr>
        <w:tc>
          <w:tcPr>
            <w:tcW w:w="2937" w:type="dxa"/>
            <w:tcBorders>
              <w:top w:val="single" w:sz="4" w:space="0" w:color="000000"/>
              <w:left w:val="single" w:sz="4" w:space="0" w:color="000000"/>
              <w:bottom w:val="single" w:sz="4" w:space="0" w:color="000000"/>
              <w:right w:val="single" w:sz="4" w:space="0" w:color="000000"/>
            </w:tcBorders>
            <w:vAlign w:val="center"/>
          </w:tcPr>
          <w:p w14:paraId="7B299F80" w14:textId="77777777" w:rsidR="007D7613" w:rsidRDefault="00B26280">
            <w:pPr>
              <w:spacing w:after="0" w:line="259" w:lineRule="auto"/>
              <w:ind w:left="110" w:firstLine="0"/>
              <w:jc w:val="left"/>
            </w:pPr>
            <w:r>
              <w:rPr>
                <w:sz w:val="18"/>
              </w:rPr>
              <w:t xml:space="preserve">Zlecenie OK, dostarczenia i montażu przez OSD, ONT będącego własnością OK </w:t>
            </w:r>
          </w:p>
        </w:tc>
        <w:tc>
          <w:tcPr>
            <w:tcW w:w="3043" w:type="dxa"/>
            <w:gridSpan w:val="2"/>
            <w:tcBorders>
              <w:top w:val="single" w:sz="4" w:space="0" w:color="000000"/>
              <w:left w:val="single" w:sz="4" w:space="0" w:color="000000"/>
              <w:bottom w:val="single" w:sz="4" w:space="0" w:color="000000"/>
              <w:right w:val="single" w:sz="4" w:space="0" w:color="000000"/>
            </w:tcBorders>
            <w:vAlign w:val="center"/>
          </w:tcPr>
          <w:p w14:paraId="06D8DFB9" w14:textId="6CBD9C65" w:rsidR="007D7613" w:rsidRDefault="00B26280" w:rsidP="00303633">
            <w:pPr>
              <w:pStyle w:val="Akapitzlist"/>
              <w:numPr>
                <w:ilvl w:val="0"/>
                <w:numId w:val="11"/>
              </w:numPr>
              <w:spacing w:after="0" w:line="259" w:lineRule="auto"/>
            </w:pPr>
            <w:r w:rsidRPr="00303633">
              <w:rPr>
                <w:sz w:val="18"/>
              </w:rPr>
              <w:t xml:space="preserve">tak </w:t>
            </w:r>
          </w:p>
        </w:tc>
        <w:tc>
          <w:tcPr>
            <w:tcW w:w="3084" w:type="dxa"/>
            <w:gridSpan w:val="2"/>
            <w:tcBorders>
              <w:top w:val="single" w:sz="4" w:space="0" w:color="000000"/>
              <w:left w:val="single" w:sz="4" w:space="0" w:color="000000"/>
              <w:bottom w:val="single" w:sz="4" w:space="0" w:color="000000"/>
              <w:right w:val="single" w:sz="4" w:space="0" w:color="000000"/>
            </w:tcBorders>
            <w:vAlign w:val="center"/>
          </w:tcPr>
          <w:p w14:paraId="490B772D" w14:textId="0F2A8D82" w:rsidR="007D7613" w:rsidRDefault="00B26280" w:rsidP="00303633">
            <w:pPr>
              <w:pStyle w:val="Akapitzlist"/>
              <w:numPr>
                <w:ilvl w:val="0"/>
                <w:numId w:val="11"/>
              </w:numPr>
              <w:spacing w:after="0" w:line="259" w:lineRule="auto"/>
              <w:ind w:right="1"/>
            </w:pPr>
            <w:r w:rsidRPr="00303633">
              <w:rPr>
                <w:sz w:val="18"/>
              </w:rPr>
              <w:t xml:space="preserve">nie  </w:t>
            </w:r>
          </w:p>
        </w:tc>
      </w:tr>
    </w:tbl>
    <w:p w14:paraId="3DB3764C" w14:textId="1257B856" w:rsidR="007D7613" w:rsidRDefault="007D7613">
      <w:pPr>
        <w:spacing w:after="45" w:line="259" w:lineRule="auto"/>
        <w:ind w:left="0" w:firstLine="0"/>
        <w:jc w:val="left"/>
      </w:pPr>
    </w:p>
    <w:p w14:paraId="28CE0678" w14:textId="77777777" w:rsidR="007D7613" w:rsidRDefault="00B26280">
      <w:pPr>
        <w:spacing w:after="45" w:line="259" w:lineRule="auto"/>
        <w:ind w:left="0" w:firstLine="0"/>
        <w:jc w:val="left"/>
      </w:pPr>
      <w:r>
        <w:rPr>
          <w:sz w:val="18"/>
          <w:shd w:val="clear" w:color="auto" w:fill="FFFF00"/>
        </w:rPr>
        <w:t>____________________________________</w:t>
      </w:r>
      <w:r>
        <w:rPr>
          <w:sz w:val="18"/>
        </w:rPr>
        <w:t xml:space="preserve"> </w:t>
      </w:r>
    </w:p>
    <w:p w14:paraId="02DB00AA" w14:textId="77777777" w:rsidR="007D7613" w:rsidRDefault="00B26280">
      <w:pPr>
        <w:pStyle w:val="Nagwek2"/>
        <w:ind w:left="368"/>
      </w:pPr>
      <w:r>
        <w:t xml:space="preserve">Za OK </w:t>
      </w:r>
    </w:p>
    <w:sectPr w:rsidR="007D7613">
      <w:footerReference w:type="even" r:id="rId7"/>
      <w:footerReference w:type="default" r:id="rId8"/>
      <w:footerReference w:type="first" r:id="rId9"/>
      <w:pgSz w:w="11906" w:h="16838"/>
      <w:pgMar w:top="1423" w:right="1416" w:bottom="1737" w:left="1416" w:header="708" w:footer="6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99AFD" w14:textId="77777777" w:rsidR="00B26280" w:rsidRDefault="00B26280">
      <w:pPr>
        <w:spacing w:after="0" w:line="240" w:lineRule="auto"/>
      </w:pPr>
      <w:r>
        <w:separator/>
      </w:r>
    </w:p>
  </w:endnote>
  <w:endnote w:type="continuationSeparator" w:id="0">
    <w:p w14:paraId="29029288" w14:textId="77777777" w:rsidR="00B26280" w:rsidRDefault="00B26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073A1" w14:textId="77777777" w:rsidR="007D7613" w:rsidRDefault="00B26280">
    <w:pPr>
      <w:spacing w:after="0" w:line="259" w:lineRule="auto"/>
      <w:ind w:left="0" w:right="-54" w:firstLine="0"/>
      <w:jc w:val="right"/>
    </w:pPr>
    <w:r>
      <w:rPr>
        <w:noProof/>
      </w:rPr>
      <w:drawing>
        <wp:anchor distT="0" distB="0" distL="114300" distR="114300" simplePos="0" relativeHeight="251658240" behindDoc="0" locked="0" layoutInCell="1" allowOverlap="0" wp14:anchorId="7ACABB0D" wp14:editId="4E76E06D">
          <wp:simplePos x="0" y="0"/>
          <wp:positionH relativeFrom="page">
            <wp:posOffset>899795</wp:posOffset>
          </wp:positionH>
          <wp:positionV relativeFrom="page">
            <wp:posOffset>9648851</wp:posOffset>
          </wp:positionV>
          <wp:extent cx="5742862" cy="59375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31B8C" w14:textId="77777777" w:rsidR="007D7613" w:rsidRDefault="00B26280">
    <w:pPr>
      <w:spacing w:after="0" w:line="259" w:lineRule="auto"/>
      <w:ind w:left="0" w:right="-54" w:firstLine="0"/>
      <w:jc w:val="right"/>
    </w:pPr>
    <w:r>
      <w:rPr>
        <w:noProof/>
      </w:rPr>
      <w:drawing>
        <wp:anchor distT="0" distB="0" distL="114300" distR="114300" simplePos="0" relativeHeight="251659264" behindDoc="0" locked="0" layoutInCell="1" allowOverlap="0" wp14:anchorId="418C956E" wp14:editId="494D8303">
          <wp:simplePos x="0" y="0"/>
          <wp:positionH relativeFrom="page">
            <wp:posOffset>899795</wp:posOffset>
          </wp:positionH>
          <wp:positionV relativeFrom="page">
            <wp:posOffset>9648851</wp:posOffset>
          </wp:positionV>
          <wp:extent cx="5742862" cy="593755"/>
          <wp:effectExtent l="0" t="0" r="0" b="0"/>
          <wp:wrapSquare wrapText="bothSides"/>
          <wp:docPr id="812643533"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38387" w14:textId="77777777" w:rsidR="007D7613" w:rsidRDefault="00B26280">
    <w:pPr>
      <w:spacing w:after="0" w:line="259" w:lineRule="auto"/>
      <w:ind w:left="0" w:right="-54" w:firstLine="0"/>
      <w:jc w:val="right"/>
    </w:pPr>
    <w:r>
      <w:rPr>
        <w:noProof/>
      </w:rPr>
      <w:drawing>
        <wp:anchor distT="0" distB="0" distL="114300" distR="114300" simplePos="0" relativeHeight="251660288" behindDoc="0" locked="0" layoutInCell="1" allowOverlap="0" wp14:anchorId="3DA7F311" wp14:editId="6F249902">
          <wp:simplePos x="0" y="0"/>
          <wp:positionH relativeFrom="page">
            <wp:posOffset>899795</wp:posOffset>
          </wp:positionH>
          <wp:positionV relativeFrom="page">
            <wp:posOffset>9648851</wp:posOffset>
          </wp:positionV>
          <wp:extent cx="5742862" cy="593755"/>
          <wp:effectExtent l="0" t="0" r="0" b="0"/>
          <wp:wrapSquare wrapText="bothSides"/>
          <wp:docPr id="2045891807"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71CF7" w14:textId="77777777" w:rsidR="00B26280" w:rsidRDefault="00B26280">
      <w:pPr>
        <w:spacing w:after="0" w:line="240" w:lineRule="auto"/>
      </w:pPr>
      <w:r>
        <w:separator/>
      </w:r>
    </w:p>
  </w:footnote>
  <w:footnote w:type="continuationSeparator" w:id="0">
    <w:p w14:paraId="4D2FF69F" w14:textId="77777777" w:rsidR="00B26280" w:rsidRDefault="00B262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22B95"/>
    <w:multiLevelType w:val="hybridMultilevel"/>
    <w:tmpl w:val="B39621CE"/>
    <w:lvl w:ilvl="0" w:tplc="0494DBF2">
      <w:start w:val="1"/>
      <w:numFmt w:val="bullet"/>
      <w:lvlText w:val="o"/>
      <w:lvlJc w:val="left"/>
      <w:pPr>
        <w:ind w:left="770" w:hanging="3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0AC27700"/>
    <w:multiLevelType w:val="hybridMultilevel"/>
    <w:tmpl w:val="01EE770C"/>
    <w:lvl w:ilvl="0" w:tplc="A9A24622">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156898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A45BE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258B8E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649CE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62CC5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B6B1D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04E28F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8F8B5F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9729B8"/>
    <w:multiLevelType w:val="hybridMultilevel"/>
    <w:tmpl w:val="BC709B0A"/>
    <w:lvl w:ilvl="0" w:tplc="0494DBF2">
      <w:start w:val="1"/>
      <w:numFmt w:val="bullet"/>
      <w:lvlText w:val="o"/>
      <w:lvlJc w:val="left"/>
      <w:pPr>
        <w:ind w:left="722" w:hanging="3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3" w15:restartNumberingAfterBreak="0">
    <w:nsid w:val="22A13639"/>
    <w:multiLevelType w:val="hybridMultilevel"/>
    <w:tmpl w:val="F4121DDC"/>
    <w:lvl w:ilvl="0" w:tplc="FB626CDA">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1E2E58">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45A3A22">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DC4188A">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8E543C">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AF20B7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1CC864">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103D4E">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E099E4">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C386C20"/>
    <w:multiLevelType w:val="hybridMultilevel"/>
    <w:tmpl w:val="C0E6E86A"/>
    <w:lvl w:ilvl="0" w:tplc="0494DBF2">
      <w:start w:val="1"/>
      <w:numFmt w:val="bullet"/>
      <w:lvlText w:val="o"/>
      <w:lvlJc w:val="left"/>
      <w:pPr>
        <w:ind w:left="211"/>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0494DBF2">
      <w:start w:val="1"/>
      <w:numFmt w:val="bullet"/>
      <w:lvlText w:val="o"/>
      <w:lvlJc w:val="left"/>
      <w:pPr>
        <w:ind w:left="119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8AF8F2F4">
      <w:start w:val="1"/>
      <w:numFmt w:val="bullet"/>
      <w:lvlText w:val="▪"/>
      <w:lvlJc w:val="left"/>
      <w:pPr>
        <w:ind w:left="191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172EC3E8">
      <w:start w:val="1"/>
      <w:numFmt w:val="bullet"/>
      <w:lvlText w:val="•"/>
      <w:lvlJc w:val="left"/>
      <w:pPr>
        <w:ind w:left="263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2FD20972">
      <w:start w:val="1"/>
      <w:numFmt w:val="bullet"/>
      <w:lvlText w:val="o"/>
      <w:lvlJc w:val="left"/>
      <w:pPr>
        <w:ind w:left="335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A66ADADC">
      <w:start w:val="1"/>
      <w:numFmt w:val="bullet"/>
      <w:lvlText w:val="▪"/>
      <w:lvlJc w:val="left"/>
      <w:pPr>
        <w:ind w:left="407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A5AAFFAA">
      <w:start w:val="1"/>
      <w:numFmt w:val="bullet"/>
      <w:lvlText w:val="•"/>
      <w:lvlJc w:val="left"/>
      <w:pPr>
        <w:ind w:left="479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CC54561A">
      <w:start w:val="1"/>
      <w:numFmt w:val="bullet"/>
      <w:lvlText w:val="o"/>
      <w:lvlJc w:val="left"/>
      <w:pPr>
        <w:ind w:left="551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7FEE3582">
      <w:start w:val="1"/>
      <w:numFmt w:val="bullet"/>
      <w:lvlText w:val="▪"/>
      <w:lvlJc w:val="left"/>
      <w:pPr>
        <w:ind w:left="623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E004EC1"/>
    <w:multiLevelType w:val="hybridMultilevel"/>
    <w:tmpl w:val="7B2AA1F8"/>
    <w:lvl w:ilvl="0" w:tplc="0494DBF2">
      <w:start w:val="1"/>
      <w:numFmt w:val="bullet"/>
      <w:lvlText w:val="o"/>
      <w:lvlJc w:val="left"/>
      <w:pPr>
        <w:ind w:left="725" w:hanging="3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6" w15:restartNumberingAfterBreak="0">
    <w:nsid w:val="44177B5F"/>
    <w:multiLevelType w:val="hybridMultilevel"/>
    <w:tmpl w:val="94B2D822"/>
    <w:lvl w:ilvl="0" w:tplc="3DCE935C">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FAD116">
      <w:start w:val="1"/>
      <w:numFmt w:val="lowerLetter"/>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24CA16">
      <w:start w:val="1"/>
      <w:numFmt w:val="lowerRoman"/>
      <w:lvlText w:val="%3"/>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E24132">
      <w:start w:val="1"/>
      <w:numFmt w:val="decimal"/>
      <w:lvlText w:val="%4"/>
      <w:lvlJc w:val="left"/>
      <w:pPr>
        <w:ind w:left="2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C88A4D8">
      <w:start w:val="1"/>
      <w:numFmt w:val="lowerLetter"/>
      <w:lvlText w:val="%5"/>
      <w:lvlJc w:val="left"/>
      <w:pPr>
        <w:ind w:left="2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9EA215C">
      <w:start w:val="1"/>
      <w:numFmt w:val="lowerRoman"/>
      <w:lvlText w:val="%6"/>
      <w:lvlJc w:val="left"/>
      <w:pPr>
        <w:ind w:left="3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46DD1E">
      <w:start w:val="1"/>
      <w:numFmt w:val="decimal"/>
      <w:lvlText w:val="%7"/>
      <w:lvlJc w:val="left"/>
      <w:pPr>
        <w:ind w:left="4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EEA1BE">
      <w:start w:val="1"/>
      <w:numFmt w:val="lowerLetter"/>
      <w:lvlText w:val="%8"/>
      <w:lvlJc w:val="left"/>
      <w:pPr>
        <w:ind w:left="5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16ED00">
      <w:start w:val="1"/>
      <w:numFmt w:val="lowerRoman"/>
      <w:lvlText w:val="%9"/>
      <w:lvlJc w:val="left"/>
      <w:pPr>
        <w:ind w:left="5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2470543"/>
    <w:multiLevelType w:val="hybridMultilevel"/>
    <w:tmpl w:val="20968C68"/>
    <w:lvl w:ilvl="0" w:tplc="F02C55A8">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1EEE82">
      <w:start w:val="1"/>
      <w:numFmt w:val="lowerLetter"/>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6A38A">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3C5DA6">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6EE7D0">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54ADAE">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1D8A346">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F4109A">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4A624A8">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7725A25"/>
    <w:multiLevelType w:val="hybridMultilevel"/>
    <w:tmpl w:val="13E47D04"/>
    <w:lvl w:ilvl="0" w:tplc="8A7AEDA6">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468E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4805F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5A05A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A8648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AE6DF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81A081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AEB31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4664C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F362C2D"/>
    <w:multiLevelType w:val="hybridMultilevel"/>
    <w:tmpl w:val="EA988108"/>
    <w:lvl w:ilvl="0" w:tplc="7D06C2B2">
      <w:start w:val="1"/>
      <w:numFmt w:val="bullet"/>
      <w:lvlText w:val="•"/>
      <w:lvlJc w:val="left"/>
      <w:pPr>
        <w:ind w:left="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02FC7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6C0FB4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F74F71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CA937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C52761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C66176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1AE7ABC">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68E637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AE27102"/>
    <w:multiLevelType w:val="hybridMultilevel"/>
    <w:tmpl w:val="7482FB10"/>
    <w:lvl w:ilvl="0" w:tplc="4E36F83E">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42FA2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C87E1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5C7B5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243D0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82458E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8725FC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B27E9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084E4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665358739">
    <w:abstractNumId w:val="10"/>
  </w:num>
  <w:num w:numId="2" w16cid:durableId="448818136">
    <w:abstractNumId w:val="6"/>
  </w:num>
  <w:num w:numId="3" w16cid:durableId="390344932">
    <w:abstractNumId w:val="3"/>
  </w:num>
  <w:num w:numId="4" w16cid:durableId="1614749079">
    <w:abstractNumId w:val="8"/>
  </w:num>
  <w:num w:numId="5" w16cid:durableId="946082968">
    <w:abstractNumId w:val="7"/>
  </w:num>
  <w:num w:numId="6" w16cid:durableId="2036881786">
    <w:abstractNumId w:val="1"/>
  </w:num>
  <w:num w:numId="7" w16cid:durableId="1136606955">
    <w:abstractNumId w:val="9"/>
  </w:num>
  <w:num w:numId="8" w16cid:durableId="420418172">
    <w:abstractNumId w:val="4"/>
  </w:num>
  <w:num w:numId="9" w16cid:durableId="785857000">
    <w:abstractNumId w:val="5"/>
  </w:num>
  <w:num w:numId="10" w16cid:durableId="1432121401">
    <w:abstractNumId w:val="2"/>
  </w:num>
  <w:num w:numId="11" w16cid:durableId="47069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613"/>
    <w:rsid w:val="00303633"/>
    <w:rsid w:val="003248E6"/>
    <w:rsid w:val="007D7613"/>
    <w:rsid w:val="00B26280"/>
    <w:rsid w:val="00EB6222"/>
    <w:rsid w:val="00FE38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7E848"/>
  <w15:docId w15:val="{AD0876F3-4159-4EB4-B7D7-B88C0D01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9" w:line="341" w:lineRule="auto"/>
      <w:ind w:left="368" w:hanging="368"/>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3" w:line="259" w:lineRule="auto"/>
      <w:ind w:left="1397" w:hanging="10"/>
      <w:jc w:val="center"/>
      <w:outlineLvl w:val="0"/>
    </w:pPr>
    <w:rPr>
      <w:rFonts w:ascii="Arial" w:eastAsia="Arial" w:hAnsi="Arial" w:cs="Arial"/>
      <w:b/>
      <w:color w:val="000000"/>
      <w:sz w:val="20"/>
    </w:rPr>
  </w:style>
  <w:style w:type="paragraph" w:styleId="Nagwek2">
    <w:name w:val="heading 2"/>
    <w:next w:val="Normalny"/>
    <w:link w:val="Nagwek2Znak"/>
    <w:uiPriority w:val="9"/>
    <w:unhideWhenUsed/>
    <w:qFormat/>
    <w:pPr>
      <w:keepNext/>
      <w:keepLines/>
      <w:spacing w:after="3" w:line="259" w:lineRule="auto"/>
      <w:ind w:left="10" w:hanging="10"/>
      <w:outlineLvl w:val="1"/>
    </w:pPr>
    <w:rPr>
      <w:rFonts w:ascii="Arial" w:eastAsia="Arial" w:hAnsi="Arial" w:cs="Arial"/>
      <w:b/>
      <w:color w:val="000000"/>
      <w:sz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character" w:customStyle="1" w:styleId="Nagwek2Znak">
    <w:name w:val="Nagłówek 2 Znak"/>
    <w:link w:val="Nagwek2"/>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3036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2907</Words>
  <Characters>17448</Characters>
  <Application>Microsoft Office Word</Application>
  <DocSecurity>0</DocSecurity>
  <Lines>145</Lines>
  <Paragraphs>40</Paragraphs>
  <ScaleCrop>false</ScaleCrop>
  <Company/>
  <LinksUpToDate>false</LinksUpToDate>
  <CharactersWithSpaces>20315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Burek</dc:creator>
  <cp:keywords/>
  <cp:lastModifiedBy>Wiktoria Burek</cp:lastModifiedBy>
  <cp:revision>5</cp:revision>
  <cp:lastPrinted>2025-11-26T07:21:00Z</cp:lastPrinted>
  <dcterms:created xsi:type="dcterms:W3CDTF">2025-11-26T07:19:00Z</dcterms:created>
  <dcterms:modified xsi:type="dcterms:W3CDTF">2025-11-26T07:24:00Z</dcterms:modified>
</cp:coreProperties>
</file>